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AE324" w14:textId="706CCC38" w:rsidR="00B41C6E" w:rsidRPr="00543DE8" w:rsidRDefault="00543DE8" w:rsidP="00543DE8">
      <w:pPr>
        <w:jc w:val="center"/>
        <w:rPr>
          <w:rFonts w:asciiTheme="majorBidi" w:hAnsiTheme="majorBidi" w:cstheme="majorBidi"/>
          <w:b/>
          <w:bCs/>
          <w:sz w:val="36"/>
          <w:szCs w:val="36"/>
          <w:rtl/>
        </w:rPr>
      </w:pPr>
      <w:r w:rsidRPr="00543DE8">
        <w:rPr>
          <w:rFonts w:asciiTheme="majorBidi" w:hAnsiTheme="majorBidi" w:cstheme="majorBidi"/>
          <w:b/>
          <w:bCs/>
          <w:sz w:val="36"/>
          <w:szCs w:val="36"/>
          <w:rtl/>
        </w:rPr>
        <w:t>نقد كتاب «الاستشراق» لإدوارد سعيد</w:t>
      </w:r>
    </w:p>
    <w:p w14:paraId="1ACD6062" w14:textId="6B4E2A44" w:rsidR="00543DE8" w:rsidRDefault="00543DE8" w:rsidP="00543DE8">
      <w:pPr>
        <w:jc w:val="center"/>
        <w:rPr>
          <w:b/>
          <w:bCs/>
          <w:sz w:val="36"/>
          <w:szCs w:val="36"/>
        </w:rPr>
      </w:pPr>
      <w:r>
        <w:rPr>
          <w:b/>
          <w:bCs/>
          <w:noProof/>
          <w:sz w:val="36"/>
          <w:szCs w:val="36"/>
        </w:rPr>
        <mc:AlternateContent>
          <mc:Choice Requires="wps">
            <w:drawing>
              <wp:anchor distT="0" distB="0" distL="114300" distR="114300" simplePos="0" relativeHeight="251659264" behindDoc="0" locked="0" layoutInCell="1" allowOverlap="1" wp14:anchorId="1FC4977D" wp14:editId="22DC60A1">
                <wp:simplePos x="0" y="0"/>
                <wp:positionH relativeFrom="column">
                  <wp:posOffset>-276225</wp:posOffset>
                </wp:positionH>
                <wp:positionV relativeFrom="paragraph">
                  <wp:posOffset>71755</wp:posOffset>
                </wp:positionV>
                <wp:extent cx="6524625" cy="0"/>
                <wp:effectExtent l="0" t="0" r="0" b="0"/>
                <wp:wrapNone/>
                <wp:docPr id="1" name="رابط مستقيم 1"/>
                <wp:cNvGraphicFramePr/>
                <a:graphic xmlns:a="http://schemas.openxmlformats.org/drawingml/2006/main">
                  <a:graphicData uri="http://schemas.microsoft.com/office/word/2010/wordprocessingShape">
                    <wps:wsp>
                      <wps:cNvCnPr/>
                      <wps:spPr>
                        <a:xfrm flipH="1">
                          <a:off x="0" y="0"/>
                          <a:ext cx="652462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41E9A257" id="رابط مستقيم 1" o:spid="_x0000_s1026" style="position:absolute;left:0;text-align:left;flip:x;z-index:251659264;visibility:visible;mso-wrap-style:square;mso-wrap-distance-left:9pt;mso-wrap-distance-top:0;mso-wrap-distance-right:9pt;mso-wrap-distance-bottom:0;mso-position-horizontal:absolute;mso-position-horizontal-relative:text;mso-position-vertical:absolute;mso-position-vertical-relative:text" from="-21.75pt,5.65pt" to="49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" strokecolor="black [3200]" strokeweight="1pt">
                <v:stroke joinstyle="miter"/>
              </v:line>
            </w:pict>
          </mc:Fallback>
        </mc:AlternateContent>
      </w:r>
    </w:p>
    <w:p w14:paraId="30B8753B" w14:textId="73BE5F58" w:rsidR="00543DE8" w:rsidRDefault="00543DE8" w:rsidP="00543DE8">
      <w:pPr>
        <w:jc w:val="center"/>
        <w:rPr>
          <w:rFonts w:asciiTheme="majorBidi" w:hAnsiTheme="majorBidi" w:cstheme="majorBidi"/>
          <w:b/>
          <w:bCs/>
          <w:sz w:val="28"/>
          <w:szCs w:val="28"/>
          <w:rtl/>
        </w:rPr>
      </w:pPr>
      <w:r w:rsidRPr="00543DE8">
        <w:rPr>
          <w:rFonts w:asciiTheme="majorBidi" w:hAnsiTheme="majorBidi" w:cstheme="majorBidi"/>
          <w:b/>
          <w:bCs/>
          <w:sz w:val="28"/>
          <w:szCs w:val="28"/>
          <w:rtl/>
        </w:rPr>
        <w:t>الملخص :(</w:t>
      </w:r>
      <w:r w:rsidRPr="00543DE8">
        <w:rPr>
          <w:rFonts w:asciiTheme="majorBidi" w:hAnsiTheme="majorBidi" w:cstheme="majorBidi"/>
          <w:b/>
          <w:bCs/>
          <w:sz w:val="28"/>
          <w:szCs w:val="28"/>
        </w:rPr>
        <w:t>Abstract</w:t>
      </w:r>
      <w:r w:rsidRPr="00543DE8">
        <w:rPr>
          <w:rFonts w:asciiTheme="majorBidi" w:hAnsiTheme="majorBidi" w:cstheme="majorBidi"/>
          <w:b/>
          <w:bCs/>
          <w:sz w:val="28"/>
          <w:szCs w:val="28"/>
          <w:rtl/>
        </w:rPr>
        <w:t>)</w:t>
      </w:r>
    </w:p>
    <w:p w14:paraId="695C9875" w14:textId="2051AEE0" w:rsidR="00543DE8" w:rsidRDefault="00543DE8" w:rsidP="00543DE8">
      <w:pPr>
        <w:rPr>
          <w:rFonts w:asciiTheme="majorBidi" w:hAnsiTheme="majorBidi" w:cstheme="majorBidi"/>
          <w:b/>
          <w:bCs/>
          <w:sz w:val="28"/>
          <w:szCs w:val="28"/>
          <w:rtl/>
        </w:rPr>
      </w:pPr>
    </w:p>
    <w:p w14:paraId="22880277" w14:textId="77777777" w:rsidR="00543DE8" w:rsidRPr="00543DE8" w:rsidRDefault="00543DE8" w:rsidP="00543DE8">
      <w:pPr>
        <w:jc w:val="both"/>
        <w:rPr>
          <w:rFonts w:ascii="Times New Roman" w:hAnsi="Times New Roman" w:cs="Times New Roman"/>
          <w:sz w:val="24"/>
          <w:szCs w:val="24"/>
          <w:rtl/>
        </w:rPr>
      </w:pPr>
      <w:r w:rsidRPr="0006785F">
        <w:rPr>
          <w:rFonts w:ascii="Times New Roman" w:hAnsi="Times New Roman" w:cs="Times New Roman"/>
          <w:color w:val="000000" w:themeColor="text1"/>
          <w:sz w:val="24"/>
          <w:szCs w:val="24"/>
          <w:rtl/>
        </w:rPr>
        <w:t xml:space="preserve">شكّل صدور كتاب </w:t>
      </w:r>
      <w:r w:rsidRPr="0006785F">
        <w:rPr>
          <w:rFonts w:ascii="Times New Roman" w:hAnsi="Times New Roman" w:cs="Times New Roman"/>
          <w:i/>
          <w:iCs/>
          <w:color w:val="000000" w:themeColor="text1"/>
          <w:sz w:val="24"/>
          <w:szCs w:val="24"/>
          <w:rtl/>
        </w:rPr>
        <w:t>الاستشراق</w:t>
      </w:r>
      <w:r w:rsidRPr="0006785F">
        <w:rPr>
          <w:rFonts w:ascii="Times New Roman" w:hAnsi="Times New Roman" w:cs="Times New Roman"/>
          <w:color w:val="000000" w:themeColor="text1"/>
          <w:sz w:val="24"/>
          <w:szCs w:val="24"/>
          <w:rtl/>
        </w:rPr>
        <w:t xml:space="preserve"> لإدوارد و. سعيد حدثًا بالغ الأهمية في كتابة تاريخ الإمبريالية الغربية وفي طرائق تمثيل الغرب للشرق </w:t>
      </w:r>
      <w:r w:rsidRPr="00543DE8">
        <w:rPr>
          <w:rFonts w:ascii="Times New Roman" w:hAnsi="Times New Roman" w:cs="Times New Roman"/>
          <w:sz w:val="24"/>
          <w:szCs w:val="24"/>
          <w:rtl/>
        </w:rPr>
        <w:t xml:space="preserve">الأوسط. وقد اعتبره كثير من الباحثين «أحد أكثر الكتب الأكاديمية تأثيرًا في مجال العلوم الإنسانية، والمنشورة باللغة الإنجليزية في الربع الأخير من القرن العشرين» </w:t>
      </w:r>
      <w:r w:rsidRPr="00543DE8">
        <w:rPr>
          <w:rFonts w:ascii="Times New Roman" w:hAnsi="Times New Roman" w:cs="Times New Roman"/>
          <w:i/>
          <w:iCs/>
          <w:sz w:val="24"/>
          <w:szCs w:val="24"/>
          <w:rtl/>
        </w:rPr>
        <w:t>(</w:t>
      </w:r>
      <w:proofErr w:type="spellStart"/>
      <w:r w:rsidRPr="00543DE8">
        <w:rPr>
          <w:rFonts w:ascii="Times New Roman" w:hAnsi="Times New Roman" w:cs="Times New Roman"/>
          <w:i/>
          <w:iCs/>
          <w:sz w:val="24"/>
          <w:szCs w:val="24"/>
          <w:rtl/>
        </w:rPr>
        <w:t>لوكمان</w:t>
      </w:r>
      <w:proofErr w:type="spellEnd"/>
      <w:r w:rsidRPr="00543DE8">
        <w:rPr>
          <w:rFonts w:ascii="Times New Roman" w:hAnsi="Times New Roman" w:cs="Times New Roman"/>
          <w:i/>
          <w:iCs/>
          <w:sz w:val="24"/>
          <w:szCs w:val="24"/>
          <w:rtl/>
        </w:rPr>
        <w:t>، 2004: 190)</w:t>
      </w:r>
      <w:r w:rsidRPr="00543DE8">
        <w:rPr>
          <w:rFonts w:ascii="Times New Roman" w:hAnsi="Times New Roman" w:cs="Times New Roman"/>
          <w:sz w:val="24"/>
          <w:szCs w:val="24"/>
          <w:rtl/>
        </w:rPr>
        <w:t>.</w:t>
      </w:r>
    </w:p>
    <w:p w14:paraId="56D35EBA" w14:textId="77777777" w:rsidR="00543DE8" w:rsidRPr="00543DE8" w:rsidRDefault="00543DE8" w:rsidP="00543DE8">
      <w:pPr>
        <w:jc w:val="both"/>
        <w:rPr>
          <w:rFonts w:ascii="Times New Roman" w:hAnsi="Times New Roman" w:cs="Times New Roman"/>
          <w:sz w:val="24"/>
          <w:szCs w:val="24"/>
          <w:rtl/>
        </w:rPr>
      </w:pPr>
      <w:r w:rsidRPr="00543DE8">
        <w:rPr>
          <w:rFonts w:ascii="Times New Roman" w:hAnsi="Times New Roman" w:cs="Times New Roman"/>
          <w:sz w:val="24"/>
          <w:szCs w:val="24"/>
          <w:rtl/>
        </w:rPr>
        <w:t>أثار الكتاب جدلًا واسعًا في الأوساط الأكاديمية، إذ اتُّهم الغرب بتبنّي رؤية مشوّهة واستعلائية تجاه الشرق، لا سيما في الطرق المتعددة التي صوّر بها الغربيون الثقافات غير الغربية ومثّلوها. وبينما حظي الاستشراق بتأييد وتعاطف من قِبَل عدد من الباحثين، قوبل في الوقت ذاته برفضٍ حادّ وانتقاداتٍ واسعة.</w:t>
      </w:r>
    </w:p>
    <w:p w14:paraId="05E5FB10" w14:textId="77777777" w:rsidR="00543DE8" w:rsidRPr="00543DE8" w:rsidRDefault="00543DE8" w:rsidP="00543DE8">
      <w:pPr>
        <w:rPr>
          <w:rFonts w:ascii="Times New Roman" w:hAnsi="Times New Roman" w:cs="Times New Roman"/>
          <w:sz w:val="24"/>
          <w:szCs w:val="24"/>
          <w:rtl/>
        </w:rPr>
      </w:pPr>
      <w:r w:rsidRPr="00543DE8">
        <w:rPr>
          <w:rFonts w:ascii="Times New Roman" w:hAnsi="Times New Roman" w:cs="Times New Roman"/>
          <w:sz w:val="24"/>
          <w:szCs w:val="24"/>
          <w:rtl/>
        </w:rPr>
        <w:t xml:space="preserve">يشير ألكسندر ليون ما كفي في كتابه </w:t>
      </w:r>
      <w:r w:rsidRPr="00543DE8">
        <w:rPr>
          <w:rFonts w:ascii="Times New Roman" w:hAnsi="Times New Roman" w:cs="Times New Roman"/>
          <w:i/>
          <w:iCs/>
          <w:sz w:val="24"/>
          <w:szCs w:val="24"/>
          <w:rtl/>
        </w:rPr>
        <w:t>الاستشراق</w:t>
      </w:r>
      <w:r w:rsidRPr="00543DE8">
        <w:rPr>
          <w:rFonts w:ascii="Times New Roman" w:hAnsi="Times New Roman" w:cs="Times New Roman"/>
          <w:sz w:val="24"/>
          <w:szCs w:val="24"/>
          <w:rtl/>
        </w:rPr>
        <w:t xml:space="preserve"> (2002) إلى هذا التباين بقوله:</w:t>
      </w:r>
    </w:p>
    <w:p w14:paraId="62DD4118" w14:textId="77777777" w:rsidR="00543DE8" w:rsidRPr="00543DE8" w:rsidRDefault="00543DE8" w:rsidP="00543DE8">
      <w:pPr>
        <w:jc w:val="both"/>
        <w:rPr>
          <w:rFonts w:ascii="Times New Roman" w:hAnsi="Times New Roman" w:cs="Times New Roman"/>
          <w:b/>
          <w:bCs/>
          <w:sz w:val="24"/>
          <w:szCs w:val="24"/>
          <w:rtl/>
        </w:rPr>
      </w:pPr>
      <w:r w:rsidRPr="00543DE8">
        <w:rPr>
          <w:rFonts w:ascii="Times New Roman" w:hAnsi="Times New Roman" w:cs="Times New Roman"/>
          <w:b/>
          <w:bCs/>
          <w:sz w:val="24"/>
          <w:szCs w:val="24"/>
          <w:rtl/>
        </w:rPr>
        <w:t xml:space="preserve">«كانت الآراء حول مدى صحة أطروحة سعيد في الاستشراق متباينة، غير أن نمطًا معينًا يمكن رصده، لا يقوم بالضرورة على جنسية الباحثين أو ديانتهم، بل على موقفهم من التاريخ ومن الأفكار الفلسفية الحديثة وما بعد الحديثة (كالتفكيك، والحقيقة بوصفها وهمًا، والهيمنة الفكرية، وغيرها) التي كثيرًا ما تؤثر في هذا الحقل» </w:t>
      </w:r>
      <w:r w:rsidRPr="00543DE8">
        <w:rPr>
          <w:rFonts w:ascii="Times New Roman" w:hAnsi="Times New Roman" w:cs="Times New Roman"/>
          <w:i/>
          <w:iCs/>
          <w:sz w:val="24"/>
          <w:szCs w:val="24"/>
          <w:rtl/>
        </w:rPr>
        <w:t>(ص 109).</w:t>
      </w:r>
    </w:p>
    <w:p w14:paraId="5D171CF8" w14:textId="5ABF3B78" w:rsidR="00543DE8" w:rsidRDefault="00543DE8" w:rsidP="00543DE8">
      <w:pPr>
        <w:bidi w:val="0"/>
        <w:jc w:val="right"/>
        <w:rPr>
          <w:rFonts w:ascii="Times New Roman" w:hAnsi="Times New Roman" w:cs="Times New Roman"/>
          <w:sz w:val="24"/>
          <w:szCs w:val="24"/>
          <w:rtl/>
        </w:rPr>
      </w:pPr>
      <w:r w:rsidRPr="00543DE8">
        <w:rPr>
          <w:rFonts w:ascii="Times New Roman" w:hAnsi="Times New Roman" w:cs="Times New Roman"/>
          <w:sz w:val="24"/>
          <w:szCs w:val="24"/>
          <w:rtl/>
        </w:rPr>
        <w:t>يسعى هذا البحث إلى استعراض أبرز الانتقادات الموجّهة إلى إدوارد سعيد ونظريته المؤثرة، كما يتناول بعض ردوده الجزئية على تلك الانتقادات.</w:t>
      </w:r>
    </w:p>
    <w:p w14:paraId="29935B04" w14:textId="77777777" w:rsidR="00543DE8" w:rsidRDefault="00543DE8" w:rsidP="00543DE8">
      <w:pPr>
        <w:jc w:val="both"/>
        <w:rPr>
          <w:rFonts w:asciiTheme="majorBidi" w:eastAsia="Calibri" w:hAnsiTheme="majorBidi" w:cstheme="majorBidi"/>
          <w:sz w:val="24"/>
          <w:szCs w:val="24"/>
          <w:rtl/>
        </w:rPr>
      </w:pPr>
      <w:r w:rsidRPr="00EC4830">
        <w:rPr>
          <w:rFonts w:asciiTheme="majorBidi" w:eastAsia="Calibri" w:hAnsiTheme="majorBidi" w:cs="Times New Roman"/>
          <w:sz w:val="24"/>
          <w:szCs w:val="24"/>
          <w:rtl/>
        </w:rPr>
        <w:t xml:space="preserve">صدر كتاب </w:t>
      </w:r>
      <w:r w:rsidRPr="00EC4830">
        <w:rPr>
          <w:rFonts w:asciiTheme="majorBidi" w:eastAsia="Calibri" w:hAnsiTheme="majorBidi" w:cs="Times New Roman"/>
          <w:i/>
          <w:iCs/>
          <w:sz w:val="24"/>
          <w:szCs w:val="24"/>
          <w:rtl/>
        </w:rPr>
        <w:t>"الاستشراق"</w:t>
      </w:r>
      <w:r w:rsidRPr="00EC4830">
        <w:rPr>
          <w:rFonts w:asciiTheme="majorBidi" w:eastAsia="Calibri" w:hAnsiTheme="majorBidi" w:cs="Times New Roman"/>
          <w:sz w:val="24"/>
          <w:szCs w:val="24"/>
          <w:rtl/>
        </w:rPr>
        <w:t xml:space="preserve"> لإدوارد سعيد ليُحدث تحوّلًا جوهريًا في فهم العَلاقة بين الغرب والمجتمعات غير الغربية. وقد ارتبط نقد سعيد لخطاب الغرب حول الشرق الأوسط بمسألة التمثيل بوجه عام، حيث أوضح أن هذا الخطاب الغربي كان يتشابك مع مفاهيم السلطة والنفوذ. كما أشار إلى اعتماده على أنماط نمطية عنصرية تُعاد صياغتها وتكرارها بشكل مستمر للحفاظ على هيمنته.</w:t>
      </w:r>
    </w:p>
    <w:p w14:paraId="151764EC" w14:textId="77777777" w:rsidR="00543DE8" w:rsidRDefault="00543DE8" w:rsidP="00543DE8">
      <w:pPr>
        <w:jc w:val="both"/>
        <w:rPr>
          <w:rFonts w:asciiTheme="majorBidi" w:eastAsia="Calibri" w:hAnsiTheme="majorBidi" w:cstheme="majorBidi"/>
          <w:sz w:val="24"/>
          <w:szCs w:val="24"/>
          <w:rtl/>
        </w:rPr>
      </w:pPr>
      <w:r w:rsidRPr="00CD1E41">
        <w:rPr>
          <w:rFonts w:asciiTheme="majorBidi" w:eastAsia="Calibri" w:hAnsiTheme="majorBidi" w:cs="Times New Roman"/>
          <w:sz w:val="24"/>
          <w:szCs w:val="24"/>
          <w:rtl/>
        </w:rPr>
        <w:t xml:space="preserve">على الرغم من الإنجازات المهمة التي تحققت، كثيرًا ما بدا أن نقد التمثيلات الاستعمارية يفتقر إلى ارتباط وثيق بتاريخه الخاص، وكذلك بالتواريخ الاستعمارية المحددة التي حاول تفسيرها. نرى أن التمثيلات الاستعمارية، بالرغم من التنظير حولها، لم </w:t>
      </w:r>
      <w:r>
        <w:rPr>
          <w:rFonts w:asciiTheme="majorBidi" w:eastAsia="Calibri" w:hAnsiTheme="majorBidi" w:cs="Times New Roman" w:hint="cs"/>
          <w:sz w:val="24"/>
          <w:szCs w:val="24"/>
          <w:rtl/>
        </w:rPr>
        <w:t>تؤرخ بما يكفي.</w:t>
      </w:r>
    </w:p>
    <w:p w14:paraId="3D877B9D" w14:textId="77777777" w:rsidR="00543DE8" w:rsidRDefault="00543DE8" w:rsidP="00543DE8">
      <w:pPr>
        <w:jc w:val="both"/>
        <w:rPr>
          <w:rFonts w:asciiTheme="majorBidi" w:eastAsia="Calibri" w:hAnsiTheme="majorBidi" w:cs="Times New Roman"/>
          <w:sz w:val="24"/>
          <w:szCs w:val="24"/>
          <w:rtl/>
        </w:rPr>
      </w:pPr>
      <w:r w:rsidRPr="00835F67">
        <w:rPr>
          <w:rFonts w:asciiTheme="majorBidi" w:eastAsia="Calibri" w:hAnsiTheme="majorBidi" w:cs="Times New Roman"/>
          <w:sz w:val="24"/>
          <w:szCs w:val="24"/>
          <w:rtl/>
        </w:rPr>
        <w:t xml:space="preserve">ولهذا الغرض، </w:t>
      </w:r>
      <w:r>
        <w:rPr>
          <w:rFonts w:asciiTheme="majorBidi" w:eastAsia="Calibri" w:hAnsiTheme="majorBidi" w:cs="Times New Roman" w:hint="cs"/>
          <w:sz w:val="24"/>
          <w:szCs w:val="24"/>
          <w:rtl/>
        </w:rPr>
        <w:t>ن</w:t>
      </w:r>
      <w:r w:rsidRPr="00835F67">
        <w:rPr>
          <w:rFonts w:asciiTheme="majorBidi" w:eastAsia="Calibri" w:hAnsiTheme="majorBidi" w:cs="Times New Roman"/>
          <w:sz w:val="24"/>
          <w:szCs w:val="24"/>
          <w:rtl/>
        </w:rPr>
        <w:t>تتبع تطور النقد الموجه نحو أشكال المعرفة الاستعمارية في كل من بريطانيا وفرنسا والولايات المتحدة، خلال الفترة الممتدة من منتصف أربعينيات القرن العشرين وحتى عام 1978. كما نسلط الضوء على أهمية تأريخ نقد الاستشراق، مع التركيز على الحاجة إلى بناء تنظير فلسفي يتسم بقدر أكبر من الملاءمة لحداثة هذا العصر، وذلك ضمن سياق التاريخ العالمي.</w:t>
      </w:r>
    </w:p>
    <w:p w14:paraId="75596194" w14:textId="47559D3F" w:rsidR="00543DE8" w:rsidRPr="00543DE8" w:rsidRDefault="00AF55A8" w:rsidP="00543DE8">
      <w:pPr>
        <w:bidi w:val="0"/>
        <w:jc w:val="right"/>
        <w:rPr>
          <w:rFonts w:ascii="Times New Roman" w:hAnsi="Times New Roman" w:cs="Times New Roman"/>
          <w:sz w:val="24"/>
          <w:szCs w:val="24"/>
          <w:rtl/>
        </w:rPr>
      </w:pPr>
      <w:r>
        <w:rPr>
          <w:rFonts w:ascii="Times New Roman" w:hAnsi="Times New Roman" w:cs="Times New Roman"/>
          <w:noProof/>
          <w:sz w:val="24"/>
          <w:szCs w:val="24"/>
          <w:rtl/>
          <w:lang w:val="ar-SA"/>
        </w:rPr>
        <mc:AlternateContent>
          <mc:Choice Requires="wps">
            <w:drawing>
              <wp:anchor distT="0" distB="0" distL="114300" distR="114300" simplePos="0" relativeHeight="251660288" behindDoc="0" locked="0" layoutInCell="1" allowOverlap="1" wp14:anchorId="3A7E51EE" wp14:editId="5A524EB1">
                <wp:simplePos x="0" y="0"/>
                <wp:positionH relativeFrom="column">
                  <wp:posOffset>-66675</wp:posOffset>
                </wp:positionH>
                <wp:positionV relativeFrom="paragraph">
                  <wp:posOffset>88900</wp:posOffset>
                </wp:positionV>
                <wp:extent cx="6286500" cy="0"/>
                <wp:effectExtent l="0" t="0" r="0" b="0"/>
                <wp:wrapNone/>
                <wp:docPr id="3" name="رابط مستقيم 3"/>
                <wp:cNvGraphicFramePr/>
                <a:graphic xmlns:a="http://schemas.openxmlformats.org/drawingml/2006/main">
                  <a:graphicData uri="http://schemas.microsoft.com/office/word/2010/wordprocessingShape">
                    <wps:wsp>
                      <wps:cNvCnPr/>
                      <wps:spPr>
                        <a:xfrm flipH="1">
                          <a:off x="0" y="0"/>
                          <a:ext cx="6286500" cy="0"/>
                        </a:xfrm>
                        <a:prstGeom prst="line">
                          <a:avLst/>
                        </a:prstGeom>
                        <a:ln>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622DD6" id="رابط مستقيم 3" o:spid="_x0000_s1026" style="position:absolute;left:0;text-align:left;flip:x;z-index:251660288;visibility:visible;mso-wrap-style:square;mso-wrap-distance-left:9pt;mso-wrap-distance-top:0;mso-wrap-distance-right:9pt;mso-wrap-distance-bottom:0;mso-position-horizontal:absolute;mso-position-horizontal-relative:text;mso-position-vertical:absolute;mso-position-vertical-relative:text" from="-5.25pt,7pt" to="489.7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" strokecolor="#5a5a5a [2109]" strokeweight=".5pt">
                <v:stroke joinstyle="miter"/>
              </v:line>
            </w:pict>
          </mc:Fallback>
        </mc:AlternateContent>
      </w:r>
    </w:p>
    <w:p w14:paraId="03731918" w14:textId="6ED3E6E7" w:rsidR="00AF55A8" w:rsidRDefault="00AF55A8" w:rsidP="00AF55A8">
      <w:pPr>
        <w:rPr>
          <w:rFonts w:asciiTheme="majorBidi" w:eastAsia="Calibri" w:hAnsiTheme="majorBidi" w:cstheme="majorBidi"/>
          <w:sz w:val="24"/>
          <w:szCs w:val="24"/>
          <w:rtl/>
        </w:rPr>
      </w:pPr>
      <w:r w:rsidRPr="00124007">
        <w:rPr>
          <w:rFonts w:ascii="Times New Roman" w:hAnsi="Times New Roman" w:cs="Times New Roman"/>
          <w:b/>
          <w:bCs/>
          <w:sz w:val="24"/>
          <w:szCs w:val="24"/>
          <w:rtl/>
        </w:rPr>
        <w:t>الكلمات المفتاحية:</w:t>
      </w:r>
      <w:r>
        <w:rPr>
          <w:rFonts w:ascii="Times New Roman" w:hAnsi="Times New Roman" w:cs="Times New Roman" w:hint="cs"/>
          <w:b/>
          <w:bCs/>
          <w:sz w:val="24"/>
          <w:szCs w:val="24"/>
          <w:rtl/>
        </w:rPr>
        <w:t xml:space="preserve"> </w:t>
      </w:r>
      <w:r w:rsidRPr="00124007">
        <w:rPr>
          <w:rFonts w:ascii="Times New Roman" w:hAnsi="Times New Roman" w:cs="Times New Roman"/>
          <w:sz w:val="24"/>
          <w:szCs w:val="24"/>
          <w:rtl/>
        </w:rPr>
        <w:t>الاستشراق، الشرق، الغرب، إدوارد و. سعيد، النقد</w:t>
      </w:r>
      <w:r>
        <w:rPr>
          <w:rFonts w:ascii="Times New Roman" w:hAnsi="Times New Roman" w:cs="Times New Roman" w:hint="cs"/>
          <w:sz w:val="24"/>
          <w:szCs w:val="24"/>
          <w:rtl/>
        </w:rPr>
        <w:t>،</w:t>
      </w:r>
      <w:r>
        <w:rPr>
          <w:rFonts w:asciiTheme="majorBidi" w:eastAsia="Calibri" w:hAnsiTheme="majorBidi" w:cs="Times New Roman" w:hint="cs"/>
          <w:sz w:val="24"/>
          <w:szCs w:val="24"/>
          <w:rtl/>
        </w:rPr>
        <w:t xml:space="preserve"> </w:t>
      </w:r>
      <w:r w:rsidRPr="00835F67">
        <w:rPr>
          <w:rFonts w:asciiTheme="majorBidi" w:eastAsia="Calibri" w:hAnsiTheme="majorBidi" w:cs="Times New Roman"/>
          <w:sz w:val="24"/>
          <w:szCs w:val="24"/>
          <w:rtl/>
        </w:rPr>
        <w:t xml:space="preserve">إدوارد سعيد؛ الاستشراق؛ أشكال المعرفة الاستعمارية؛ </w:t>
      </w:r>
      <w:proofErr w:type="spellStart"/>
      <w:r w:rsidRPr="00835F67">
        <w:rPr>
          <w:rFonts w:asciiTheme="majorBidi" w:eastAsia="Calibri" w:hAnsiTheme="majorBidi" w:cs="Times New Roman"/>
          <w:sz w:val="24"/>
          <w:szCs w:val="24"/>
          <w:rtl/>
        </w:rPr>
        <w:t>فرانتز</w:t>
      </w:r>
      <w:proofErr w:type="spellEnd"/>
      <w:r w:rsidRPr="00835F67">
        <w:rPr>
          <w:rFonts w:asciiTheme="majorBidi" w:eastAsia="Calibri" w:hAnsiTheme="majorBidi" w:cs="Times New Roman"/>
          <w:sz w:val="24"/>
          <w:szCs w:val="24"/>
          <w:rtl/>
        </w:rPr>
        <w:t xml:space="preserve"> فانون؛ الماركسية؛ الجزائر؛ الحداثة؛ التاريخ العالمي.</w:t>
      </w:r>
    </w:p>
    <w:p w14:paraId="524E1245" w14:textId="181FBFB4" w:rsidR="00AF55A8" w:rsidRDefault="00AF55A8" w:rsidP="00AF55A8">
      <w:pPr>
        <w:rPr>
          <w:rFonts w:asciiTheme="majorBidi" w:eastAsia="Calibri" w:hAnsiTheme="majorBidi" w:cstheme="majorBidi"/>
          <w:sz w:val="24"/>
          <w:szCs w:val="24"/>
          <w:rtl/>
        </w:rPr>
      </w:pPr>
    </w:p>
    <w:p w14:paraId="150A1FAE" w14:textId="406E0E08" w:rsidR="00AF55A8" w:rsidRDefault="00AF55A8" w:rsidP="00AF55A8">
      <w:pPr>
        <w:rPr>
          <w:rFonts w:asciiTheme="majorBidi" w:eastAsia="Calibri" w:hAnsiTheme="majorBidi" w:cstheme="majorBidi"/>
          <w:sz w:val="24"/>
          <w:szCs w:val="24"/>
          <w:rtl/>
        </w:rPr>
      </w:pPr>
    </w:p>
    <w:p w14:paraId="591D2F1B" w14:textId="4FA515B8" w:rsidR="00AF55A8" w:rsidRDefault="00AF55A8" w:rsidP="00AF55A8">
      <w:pPr>
        <w:rPr>
          <w:rFonts w:asciiTheme="majorBidi" w:eastAsia="Calibri" w:hAnsiTheme="majorBidi" w:cstheme="majorBidi"/>
          <w:sz w:val="24"/>
          <w:szCs w:val="24"/>
          <w:rtl/>
        </w:rPr>
      </w:pPr>
    </w:p>
    <w:p w14:paraId="0B3F17CD" w14:textId="0E80D2CA" w:rsidR="00AF55A8" w:rsidRDefault="00AF55A8" w:rsidP="00AF55A8">
      <w:pPr>
        <w:rPr>
          <w:rFonts w:asciiTheme="majorBidi" w:eastAsia="Calibri" w:hAnsiTheme="majorBidi" w:cstheme="majorBidi"/>
          <w:sz w:val="24"/>
          <w:szCs w:val="24"/>
          <w:rtl/>
        </w:rPr>
      </w:pPr>
    </w:p>
    <w:p w14:paraId="7F235583" w14:textId="09948365" w:rsidR="00AF55A8" w:rsidRDefault="00AF55A8" w:rsidP="00AF55A8">
      <w:pPr>
        <w:rPr>
          <w:rFonts w:asciiTheme="majorBidi" w:eastAsia="Calibri" w:hAnsiTheme="majorBidi" w:cstheme="majorBidi"/>
          <w:sz w:val="24"/>
          <w:szCs w:val="24"/>
          <w:rtl/>
        </w:rPr>
      </w:pPr>
    </w:p>
    <w:p w14:paraId="21817676" w14:textId="7EAA4C41" w:rsidR="00AF55A8" w:rsidRDefault="00AF55A8" w:rsidP="00AF55A8">
      <w:pPr>
        <w:rPr>
          <w:rFonts w:asciiTheme="majorBidi" w:eastAsia="Calibri" w:hAnsiTheme="majorBidi" w:cstheme="majorBidi"/>
          <w:sz w:val="24"/>
          <w:szCs w:val="24"/>
          <w:rtl/>
        </w:rPr>
      </w:pPr>
    </w:p>
    <w:p w14:paraId="36DA04CD" w14:textId="77777777" w:rsidR="00AF55A8" w:rsidRDefault="00AF55A8" w:rsidP="00AF55A8">
      <w:pPr>
        <w:jc w:val="both"/>
        <w:rPr>
          <w:rFonts w:asciiTheme="majorBidi" w:hAnsiTheme="majorBidi" w:cstheme="majorBidi"/>
          <w:b/>
          <w:bCs/>
          <w:sz w:val="26"/>
          <w:szCs w:val="26"/>
          <w:rtl/>
        </w:rPr>
      </w:pPr>
      <w:r w:rsidRPr="00C2480B">
        <w:rPr>
          <w:rFonts w:asciiTheme="majorBidi" w:hAnsiTheme="majorBidi" w:cs="Times New Roman"/>
          <w:b/>
          <w:bCs/>
          <w:sz w:val="28"/>
          <w:szCs w:val="28"/>
          <w:rtl/>
        </w:rPr>
        <w:t xml:space="preserve">نقد تعريفات وبنية الاستشراق: </w:t>
      </w:r>
      <w:r w:rsidRPr="00C2480B">
        <w:rPr>
          <w:rFonts w:asciiTheme="majorBidi" w:hAnsiTheme="majorBidi" w:cs="Times New Roman"/>
          <w:b/>
          <w:bCs/>
          <w:sz w:val="26"/>
          <w:szCs w:val="26"/>
          <w:rtl/>
        </w:rPr>
        <w:t>(</w:t>
      </w:r>
      <w:r w:rsidRPr="00C2480B">
        <w:rPr>
          <w:rFonts w:asciiTheme="majorBidi" w:hAnsiTheme="majorBidi" w:cstheme="majorBidi"/>
          <w:b/>
          <w:bCs/>
          <w:sz w:val="26"/>
          <w:szCs w:val="26"/>
        </w:rPr>
        <w:t>Criticism to definitions and structure of Orientalism</w:t>
      </w:r>
      <w:r w:rsidRPr="00C2480B">
        <w:rPr>
          <w:rFonts w:asciiTheme="majorBidi" w:hAnsiTheme="majorBidi" w:cs="Times New Roman"/>
          <w:b/>
          <w:bCs/>
          <w:sz w:val="26"/>
          <w:szCs w:val="26"/>
          <w:rtl/>
        </w:rPr>
        <w:t>)</w:t>
      </w:r>
    </w:p>
    <w:p w14:paraId="663C4D13" w14:textId="60C6F5C7" w:rsidR="00AF55A8" w:rsidRDefault="00AF55A8" w:rsidP="00AF55A8">
      <w:pPr>
        <w:rPr>
          <w:rFonts w:asciiTheme="majorBidi" w:eastAsia="Calibri" w:hAnsiTheme="majorBidi" w:cstheme="majorBidi"/>
          <w:sz w:val="24"/>
          <w:szCs w:val="24"/>
          <w:rtl/>
        </w:rPr>
      </w:pPr>
    </w:p>
    <w:p w14:paraId="7FE7869C" w14:textId="77777777" w:rsidR="00AF55A8" w:rsidRDefault="00AF55A8" w:rsidP="00AF55A8">
      <w:pPr>
        <w:jc w:val="both"/>
        <w:rPr>
          <w:rFonts w:ascii="Times New Roman" w:hAnsi="Times New Roman" w:cs="Times New Roman"/>
          <w:sz w:val="24"/>
          <w:szCs w:val="24"/>
          <w:rtl/>
        </w:rPr>
      </w:pPr>
      <w:r w:rsidRPr="0072525F">
        <w:rPr>
          <w:rFonts w:ascii="Times New Roman" w:hAnsi="Times New Roman" w:cs="Times New Roman"/>
          <w:sz w:val="24"/>
          <w:szCs w:val="24"/>
          <w:rtl/>
        </w:rPr>
        <w:t>إحدى القضايا الرئيسة التي أزعجت نقّاد إدوارد سعيد هي أنه يعرّف الاستشراق بثلاثة تعريفات مختلفة، وهي: الاستشراق بوصفه تخصصًا أكاديميًا، والاستشراق بوصفه طريقة في رؤية العالم، والاستشراق بوصفه نمطًا من أنماط الهيمنة. وفيما يلي التعريفات الثلاثة التي يقدّمها سعيد للاستشراق:</w:t>
      </w:r>
    </w:p>
    <w:p w14:paraId="7024135E" w14:textId="77777777" w:rsidR="00AF55A8" w:rsidRPr="00126B6F" w:rsidRDefault="00AF55A8" w:rsidP="00AF55A8">
      <w:pPr>
        <w:jc w:val="both"/>
        <w:rPr>
          <w:rFonts w:ascii="Times New Roman" w:hAnsi="Times New Roman" w:cs="Times New Roman"/>
          <w:sz w:val="24"/>
          <w:szCs w:val="24"/>
          <w:rtl/>
        </w:rPr>
      </w:pPr>
      <w:r w:rsidRPr="0072525F">
        <w:rPr>
          <w:rFonts w:ascii="Times New Roman" w:hAnsi="Times New Roman" w:cs="Times New Roman"/>
          <w:sz w:val="24"/>
          <w:szCs w:val="24"/>
          <w:rtl/>
        </w:rPr>
        <w:t xml:space="preserve">أكثر التعريفات شيوعًا وقبولًا للاستشراق هو التعريف الأكاديمي؛ إذ لا يزال هذا المصطلح مستخدمًا في عدد من المؤسسات الأكاديمية. </w:t>
      </w:r>
      <w:r w:rsidRPr="00126B6F">
        <w:rPr>
          <w:rFonts w:ascii="Times New Roman" w:hAnsi="Times New Roman" w:cs="Times New Roman"/>
          <w:sz w:val="24"/>
          <w:szCs w:val="24"/>
          <w:rtl/>
        </w:rPr>
        <w:t>فكل من يدرس الشرق، أو يكتب عنه، أو يجري بحوثًا حوله</w:t>
      </w:r>
      <w:r w:rsidRPr="00126B6F">
        <w:rPr>
          <w:rFonts w:ascii="Times New Roman" w:hAnsi="Times New Roman" w:cs="Times New Roman" w:hint="cs"/>
          <w:sz w:val="24"/>
          <w:szCs w:val="24"/>
          <w:rtl/>
        </w:rPr>
        <w:t xml:space="preserve"> </w:t>
      </w:r>
      <w:r w:rsidRPr="00126B6F">
        <w:rPr>
          <w:rFonts w:ascii="Times New Roman" w:hAnsi="Times New Roman" w:cs="Times New Roman"/>
          <w:sz w:val="24"/>
          <w:szCs w:val="24"/>
          <w:rtl/>
        </w:rPr>
        <w:t>سواء كان أنثروبولوجيًا، أو عالم اجتماع، أو مؤرخًا، أو فقيه لغة</w:t>
      </w:r>
      <w:r w:rsidRPr="00126B6F">
        <w:rPr>
          <w:rFonts w:ascii="Times New Roman" w:hAnsi="Times New Roman" w:cs="Times New Roman" w:hint="cs"/>
          <w:sz w:val="24"/>
          <w:szCs w:val="24"/>
          <w:rtl/>
        </w:rPr>
        <w:t xml:space="preserve"> </w:t>
      </w:r>
      <w:r w:rsidRPr="00126B6F">
        <w:rPr>
          <w:rFonts w:ascii="Times New Roman" w:hAnsi="Times New Roman" w:cs="Times New Roman"/>
          <w:sz w:val="24"/>
          <w:szCs w:val="24"/>
          <w:rtl/>
        </w:rPr>
        <w:t xml:space="preserve">في جانبه الخاص أو العام، يُعد مستشرقًا، وما يقوم به يُسمى استشراقًا </w:t>
      </w:r>
      <w:r w:rsidRPr="00A43E86">
        <w:rPr>
          <w:rFonts w:ascii="Times New Roman" w:hAnsi="Times New Roman" w:cs="Times New Roman"/>
          <w:i/>
          <w:iCs/>
          <w:rtl/>
        </w:rPr>
        <w:t>(سعيد، 2003: 2).</w:t>
      </w:r>
    </w:p>
    <w:p w14:paraId="3307F15D" w14:textId="77777777" w:rsidR="00AF55A8" w:rsidRDefault="00AF55A8" w:rsidP="00AF55A8">
      <w:pPr>
        <w:jc w:val="both"/>
        <w:rPr>
          <w:rFonts w:asciiTheme="majorBidi" w:hAnsiTheme="majorBidi" w:cstheme="majorBidi"/>
          <w:sz w:val="24"/>
          <w:szCs w:val="24"/>
          <w:rtl/>
        </w:rPr>
      </w:pPr>
      <w:r w:rsidRPr="00126B6F">
        <w:rPr>
          <w:rFonts w:asciiTheme="majorBidi" w:hAnsiTheme="majorBidi" w:cs="Times New Roman"/>
          <w:sz w:val="24"/>
          <w:szCs w:val="24"/>
          <w:rtl/>
        </w:rPr>
        <w:t>ورغم أن هذا التعريف قد لا يخدم المؤسسات الأكاديمية بصورة مباشرة، فإنه يقوم بذلك بشكل غير مباشر. ويتضح هذا النوع من الخدمة في التعريف الثاني، الذي يرتبط ارتباطًا وثيقًا بالأول.</w:t>
      </w:r>
    </w:p>
    <w:p w14:paraId="52C34C22" w14:textId="77777777" w:rsidR="00AF55A8" w:rsidRDefault="00AF55A8" w:rsidP="00AF55A8">
      <w:pPr>
        <w:jc w:val="both"/>
        <w:rPr>
          <w:rFonts w:asciiTheme="majorBidi" w:hAnsiTheme="majorBidi" w:cstheme="majorBidi"/>
          <w:sz w:val="24"/>
          <w:szCs w:val="24"/>
          <w:rtl/>
        </w:rPr>
      </w:pPr>
      <w:r w:rsidRPr="00126B6F">
        <w:rPr>
          <w:rFonts w:asciiTheme="majorBidi" w:hAnsiTheme="majorBidi" w:cs="Times New Roman"/>
          <w:sz w:val="24"/>
          <w:szCs w:val="24"/>
          <w:rtl/>
        </w:rPr>
        <w:t xml:space="preserve">فالاستشراق هو أسلوب في التفكير يقوم على تمييز أنطولوجي ومعرفي بين «الشرق» و«الغرب» في معظم الأحيان. وبناءً على هذا التمييز، تبنّى عدد هائل من الكتّاب ومنهم الشعراء، والروائيون، والفلاسفة، والمنظّرون السياسيون، والاقتصاديون، والإداريون الإمبرياليون التمييز الأساسي بين الشرق والغرب كنقطة انطلاق لصياغة نظريات مطوّلة، وملاحم، وروايات، ووصف اجتماعي، وسرديات سياسية تتعلّق بالشرق، وشعوبه، وعاداته، و«عقليته»، ومصيره، وغير ذلك. وبهذا المعنى، يمكن لهذا النوع من الاستشراق أن يستوعب أعمال إسخيلوس، وفيكتور هوغو، ودانتي، وكارل ماركس </w:t>
      </w:r>
      <w:r w:rsidRPr="00A43E86">
        <w:rPr>
          <w:rFonts w:asciiTheme="majorBidi" w:hAnsiTheme="majorBidi" w:cs="Times New Roman"/>
          <w:i/>
          <w:iCs/>
          <w:rtl/>
        </w:rPr>
        <w:t>(سعيد، 2003: 2).</w:t>
      </w:r>
    </w:p>
    <w:p w14:paraId="294C9BE7" w14:textId="77777777" w:rsidR="00AF55A8" w:rsidRPr="007D21F3" w:rsidRDefault="00AF55A8" w:rsidP="00AF55A8">
      <w:pPr>
        <w:rPr>
          <w:rFonts w:asciiTheme="majorBidi" w:hAnsiTheme="majorBidi" w:cstheme="majorBidi"/>
          <w:sz w:val="24"/>
          <w:szCs w:val="24"/>
          <w:rtl/>
        </w:rPr>
      </w:pPr>
      <w:r w:rsidRPr="009C2559">
        <w:rPr>
          <w:rFonts w:asciiTheme="majorBidi" w:hAnsiTheme="majorBidi" w:cs="Times New Roman"/>
          <w:sz w:val="24"/>
          <w:szCs w:val="24"/>
          <w:rtl/>
        </w:rPr>
        <w:t xml:space="preserve">وأخيرًا، يُعرّف إدوارد سعيد الاستشراق انطلاقًا من العلاقات السياسية والاستعمارية الفعلية التي يقيمها الغرب مع الشرق، كما جرى تشكّله معرفيًا وفق التعريفين السابقين. فهذا الشكل من الاستشراق أكثر تحديدًا من الناحيتين التاريخية والمادية مقارنةً بالتعريفين الآخرين. فمنذ أواخر القرن الثامن عشر، بوصفها نقطة انطلاق تقريبية، يمكن مناقشة الاستشراق وتحليله باعتباره مؤسسة جماعية للتعامل مع الشرق؛ أي التعامل معه من خلال إصدار الأحكام عنه، وتفويض وجهات النظر حوله، ووصفه، وتعليمه، وتوطينه، والسيطرة عليه. وباختصار، يمثّل الاستشراق أسلوبًا غربيًا للهيمنة على الشرق، وإعادة تشكيله، وممارسة السلطة عليه </w:t>
      </w:r>
      <w:r w:rsidRPr="007D21F3">
        <w:rPr>
          <w:rFonts w:asciiTheme="majorBidi" w:hAnsiTheme="majorBidi" w:cs="Times New Roman"/>
          <w:i/>
          <w:iCs/>
          <w:rtl/>
        </w:rPr>
        <w:t>(سعيد، 2003: 3).</w:t>
      </w:r>
    </w:p>
    <w:p w14:paraId="7B05C7CD" w14:textId="77777777" w:rsidR="00AF55A8" w:rsidRDefault="00AF55A8" w:rsidP="00AF55A8">
      <w:pPr>
        <w:jc w:val="both"/>
        <w:rPr>
          <w:rFonts w:asciiTheme="majorBidi" w:hAnsiTheme="majorBidi" w:cs="Times New Roman"/>
          <w:sz w:val="24"/>
          <w:szCs w:val="24"/>
          <w:rtl/>
        </w:rPr>
      </w:pPr>
      <w:r w:rsidRPr="00027AC1">
        <w:rPr>
          <w:rFonts w:asciiTheme="majorBidi" w:hAnsiTheme="majorBidi" w:cs="Times New Roman"/>
          <w:sz w:val="24"/>
          <w:szCs w:val="24"/>
          <w:rtl/>
        </w:rPr>
        <w:t>ومن الواضح أن نطاق الظواهر التي يدرجها سعيد تحت مسمّى الاستشراق واسع للغاية. فبالنسبة إليه، ترتبط هذه الظواهر بعضها ببعض ارتباطًا وثيقًا، لا سيما على مستوى بناء المعرفة وتأطيرها. ومع أنه كان معترفًا قبل صدور كتاب سعيد بأن الاستشراق يشير إلى معانٍ متعددة، فإن نقده أثار جدلًا غير مسبوق بسبب جمعه بين «أنواع» مختلفة من المعرفة ضمن مفهوم واحد.</w:t>
      </w:r>
    </w:p>
    <w:p w14:paraId="27CF1057" w14:textId="77777777" w:rsidR="00AF55A8" w:rsidRDefault="00AF55A8" w:rsidP="00AF55A8">
      <w:pPr>
        <w:jc w:val="both"/>
        <w:rPr>
          <w:rFonts w:asciiTheme="majorBidi" w:hAnsiTheme="majorBidi" w:cs="Times New Roman"/>
          <w:sz w:val="24"/>
          <w:szCs w:val="24"/>
          <w:rtl/>
        </w:rPr>
      </w:pPr>
      <w:r w:rsidRPr="00027AC1">
        <w:rPr>
          <w:rFonts w:asciiTheme="majorBidi" w:hAnsiTheme="majorBidi" w:cs="Times New Roman"/>
          <w:sz w:val="24"/>
          <w:szCs w:val="24"/>
          <w:rtl/>
        </w:rPr>
        <w:t>وقد تبنّى نقّاد سعيد تصوّرًا خاصًا للاستشراق الأكاديمي بوصفه ممثلاً للحقيقة الموضوعية، وسعوا إلى الدفاع عن تخصصهم ضد إدراج «غرباء» ضمنه. وتركّز معظم الجدل والانتقادات حول محورين أساسيين:</w:t>
      </w:r>
    </w:p>
    <w:p w14:paraId="4DB29FAA" w14:textId="77777777" w:rsidR="00AF55A8" w:rsidRDefault="00AF55A8" w:rsidP="00AF55A8">
      <w:pPr>
        <w:jc w:val="both"/>
        <w:rPr>
          <w:rFonts w:asciiTheme="majorBidi" w:hAnsiTheme="majorBidi" w:cstheme="majorBidi"/>
          <w:sz w:val="24"/>
          <w:szCs w:val="24"/>
          <w:rtl/>
        </w:rPr>
      </w:pPr>
      <w:r w:rsidRPr="00A55E05">
        <w:rPr>
          <w:rFonts w:asciiTheme="majorBidi" w:hAnsiTheme="majorBidi" w:cs="Times New Roman"/>
          <w:sz w:val="24"/>
          <w:szCs w:val="24"/>
          <w:rtl/>
        </w:rPr>
        <w:t>أولًا: الدقة التاريخية وكفاءة المستشرق بوصفه صاحب صلاحية في الكلام، وثانيًا: حيادية وموضوعية تمثيلاته؛ وهو جدل ارتبط ارتباطًا وثيقًا بإدانة العلاقة بين الاستشراق والإمبريالية.</w:t>
      </w:r>
    </w:p>
    <w:p w14:paraId="58A4103A" w14:textId="77777777" w:rsidR="00AF55A8" w:rsidRDefault="00AF55A8" w:rsidP="00AF55A8">
      <w:pPr>
        <w:jc w:val="both"/>
        <w:rPr>
          <w:sz w:val="24"/>
          <w:szCs w:val="24"/>
          <w:rtl/>
        </w:rPr>
      </w:pPr>
      <w:r w:rsidRPr="00A55E05">
        <w:rPr>
          <w:rFonts w:cs="Arial"/>
          <w:sz w:val="24"/>
          <w:szCs w:val="24"/>
          <w:rtl/>
        </w:rPr>
        <w:t>وتكمن المشكلة الرئيسة في هذا السياق في الإصرار على الفصل الصارم بين أنواع النصوص المختلفة.</w:t>
      </w:r>
    </w:p>
    <w:p w14:paraId="4BCFAC3C" w14:textId="76CD935A" w:rsidR="00AF55A8" w:rsidRDefault="00AF55A8" w:rsidP="00AF55A8">
      <w:pPr>
        <w:rPr>
          <w:rFonts w:asciiTheme="majorBidi" w:eastAsia="Calibri" w:hAnsiTheme="majorBidi" w:cstheme="majorBidi"/>
          <w:sz w:val="24"/>
          <w:szCs w:val="24"/>
          <w:rtl/>
        </w:rPr>
      </w:pPr>
    </w:p>
    <w:p w14:paraId="479ACE3E" w14:textId="18E705C1" w:rsidR="00AF55A8" w:rsidRDefault="00AF55A8" w:rsidP="00AF55A8">
      <w:pPr>
        <w:rPr>
          <w:rFonts w:asciiTheme="majorBidi" w:eastAsia="Calibri" w:hAnsiTheme="majorBidi" w:cstheme="majorBidi"/>
          <w:sz w:val="24"/>
          <w:szCs w:val="24"/>
          <w:rtl/>
        </w:rPr>
      </w:pPr>
    </w:p>
    <w:p w14:paraId="71D47FCC" w14:textId="0037A847" w:rsidR="00AF55A8" w:rsidRDefault="00AF55A8" w:rsidP="00AF55A8">
      <w:pPr>
        <w:rPr>
          <w:rFonts w:asciiTheme="majorBidi" w:eastAsia="Calibri" w:hAnsiTheme="majorBidi" w:cstheme="majorBidi"/>
          <w:sz w:val="24"/>
          <w:szCs w:val="24"/>
          <w:rtl/>
        </w:rPr>
      </w:pPr>
    </w:p>
    <w:p w14:paraId="723F664F" w14:textId="0544DF96" w:rsidR="00AF55A8" w:rsidRDefault="00AF55A8" w:rsidP="00AF55A8">
      <w:pPr>
        <w:rPr>
          <w:rFonts w:asciiTheme="majorBidi" w:eastAsia="Calibri" w:hAnsiTheme="majorBidi" w:cstheme="majorBidi"/>
          <w:sz w:val="24"/>
          <w:szCs w:val="24"/>
          <w:rtl/>
        </w:rPr>
      </w:pPr>
    </w:p>
    <w:p w14:paraId="3E423B29" w14:textId="0DE45A2E" w:rsidR="00AF55A8" w:rsidRDefault="00AF55A8" w:rsidP="00AF55A8">
      <w:pPr>
        <w:rPr>
          <w:rFonts w:asciiTheme="majorBidi" w:eastAsia="Calibri" w:hAnsiTheme="majorBidi" w:cstheme="majorBidi"/>
          <w:sz w:val="24"/>
          <w:szCs w:val="24"/>
          <w:rtl/>
        </w:rPr>
      </w:pPr>
    </w:p>
    <w:p w14:paraId="0C6458BA" w14:textId="00AC8C06" w:rsidR="00AF55A8" w:rsidRDefault="00AF55A8" w:rsidP="00AF55A8">
      <w:pPr>
        <w:rPr>
          <w:rFonts w:asciiTheme="majorBidi" w:eastAsia="Calibri" w:hAnsiTheme="majorBidi" w:cstheme="majorBidi"/>
          <w:sz w:val="24"/>
          <w:szCs w:val="24"/>
          <w:rtl/>
        </w:rPr>
      </w:pPr>
    </w:p>
    <w:p w14:paraId="76847B59" w14:textId="537CF5E0" w:rsidR="00AF55A8" w:rsidRDefault="00AF55A8" w:rsidP="00AF55A8">
      <w:pPr>
        <w:rPr>
          <w:rFonts w:asciiTheme="majorBidi" w:eastAsia="Calibri" w:hAnsiTheme="majorBidi" w:cstheme="majorBidi"/>
          <w:sz w:val="24"/>
          <w:szCs w:val="24"/>
          <w:rtl/>
        </w:rPr>
      </w:pPr>
    </w:p>
    <w:p w14:paraId="7BF17102" w14:textId="7889435F" w:rsidR="00AF55A8" w:rsidRDefault="00AF55A8" w:rsidP="00AF55A8">
      <w:pPr>
        <w:rPr>
          <w:rFonts w:asciiTheme="majorBidi" w:eastAsia="Calibri" w:hAnsiTheme="majorBidi" w:cstheme="majorBidi"/>
          <w:sz w:val="24"/>
          <w:szCs w:val="24"/>
          <w:rtl/>
        </w:rPr>
      </w:pPr>
    </w:p>
    <w:p w14:paraId="50AA122F" w14:textId="77777777" w:rsidR="00AF55A8" w:rsidRDefault="00AF55A8" w:rsidP="00AF55A8">
      <w:pPr>
        <w:rPr>
          <w:rFonts w:asciiTheme="majorBidi" w:hAnsiTheme="majorBidi" w:cstheme="majorBidi"/>
          <w:b/>
          <w:bCs/>
          <w:sz w:val="28"/>
          <w:szCs w:val="28"/>
          <w:rtl/>
        </w:rPr>
      </w:pPr>
      <w:r w:rsidRPr="00A55E05">
        <w:rPr>
          <w:rFonts w:asciiTheme="majorBidi" w:hAnsiTheme="majorBidi" w:cs="Times New Roman"/>
          <w:b/>
          <w:bCs/>
          <w:sz w:val="28"/>
          <w:szCs w:val="28"/>
          <w:rtl/>
        </w:rPr>
        <w:t>الخلاف حول محتوى الاستشراق وفصوله:</w:t>
      </w:r>
    </w:p>
    <w:p w14:paraId="44EA9836" w14:textId="0BD38E7B" w:rsidR="00AF55A8" w:rsidRDefault="00AF55A8" w:rsidP="00AF55A8">
      <w:pPr>
        <w:rPr>
          <w:rFonts w:asciiTheme="majorBidi" w:eastAsia="Calibri" w:hAnsiTheme="majorBidi" w:cstheme="majorBidi"/>
          <w:sz w:val="24"/>
          <w:szCs w:val="24"/>
          <w:rtl/>
        </w:rPr>
      </w:pPr>
    </w:p>
    <w:p w14:paraId="4F4C100C" w14:textId="77777777" w:rsidR="00AF55A8" w:rsidRPr="00AF55A8" w:rsidRDefault="00AF55A8" w:rsidP="00AF55A8">
      <w:pPr>
        <w:jc w:val="both"/>
        <w:rPr>
          <w:rFonts w:asciiTheme="majorBidi" w:hAnsiTheme="majorBidi" w:cstheme="majorBidi"/>
          <w:sz w:val="24"/>
          <w:szCs w:val="24"/>
          <w:rtl/>
        </w:rPr>
      </w:pPr>
      <w:r w:rsidRPr="00AF55A8">
        <w:rPr>
          <w:rFonts w:asciiTheme="majorBidi" w:hAnsiTheme="majorBidi" w:cstheme="majorBidi"/>
          <w:sz w:val="24"/>
          <w:szCs w:val="24"/>
          <w:rtl/>
        </w:rPr>
        <w:t xml:space="preserve">إلى جانب الخلاف حول التعريفات، ثمة قدر كبير من الجدل بشأن محتوى كتاب الاستشراق نفسه. يركّز الفصل الأول، المعنون </w:t>
      </w:r>
      <w:r w:rsidRPr="00AF55A8">
        <w:rPr>
          <w:rFonts w:asciiTheme="majorBidi" w:hAnsiTheme="majorBidi" w:cstheme="majorBidi"/>
          <w:i/>
          <w:iCs/>
          <w:sz w:val="24"/>
          <w:szCs w:val="24"/>
          <w:rtl/>
        </w:rPr>
        <w:t>نطاق الاستشراق (</w:t>
      </w:r>
      <w:r w:rsidRPr="00AF55A8">
        <w:rPr>
          <w:rFonts w:asciiTheme="majorBidi" w:hAnsiTheme="majorBidi" w:cstheme="majorBidi"/>
          <w:i/>
          <w:iCs/>
          <w:sz w:val="24"/>
          <w:szCs w:val="24"/>
        </w:rPr>
        <w:t>The Scope of Orientalism</w:t>
      </w:r>
      <w:r w:rsidRPr="00AF55A8">
        <w:rPr>
          <w:rFonts w:asciiTheme="majorBidi" w:hAnsiTheme="majorBidi" w:cstheme="majorBidi"/>
          <w:i/>
          <w:iCs/>
          <w:sz w:val="24"/>
          <w:szCs w:val="24"/>
          <w:rtl/>
        </w:rPr>
        <w:t>)،</w:t>
      </w:r>
      <w:r w:rsidRPr="00AF55A8">
        <w:rPr>
          <w:rFonts w:asciiTheme="majorBidi" w:hAnsiTheme="majorBidi" w:cstheme="majorBidi"/>
          <w:sz w:val="24"/>
          <w:szCs w:val="24"/>
          <w:rtl/>
        </w:rPr>
        <w:t xml:space="preserve"> على الحملة النابليونية على مصر، وعلى الصور النمطية للمسلمين والعرب، ويقدّم عرضًا تاريخيًا لتشكّل الاستشراق والظروف التي أدّت إلى ظهوره خلال العقود اللاحقة. فالمعرفة التي جُمعت خلال تلك الحملة لم تُمكّن الجمهور الأوروبي من «تثقيف» نفسه فحسب، بل أسهمت أيضًا في بروز صراع قوى بين الفرنسيين والمصريين، إذ أتاح امتلاك المعرفة عن «الآخر» للفرنسيين إمكانية الهيمنة والسيطرة </w:t>
      </w:r>
      <w:r w:rsidRPr="00AF55A8">
        <w:rPr>
          <w:rFonts w:asciiTheme="majorBidi" w:hAnsiTheme="majorBidi" w:cstheme="majorBidi"/>
          <w:i/>
          <w:iCs/>
          <w:rtl/>
        </w:rPr>
        <w:t>(سعيد، 2004: 560)</w:t>
      </w:r>
      <w:r w:rsidRPr="00AF55A8">
        <w:rPr>
          <w:rFonts w:asciiTheme="majorBidi" w:hAnsiTheme="majorBidi" w:cstheme="majorBidi"/>
          <w:rtl/>
        </w:rPr>
        <w:t>.</w:t>
      </w:r>
      <w:r w:rsidRPr="00AF55A8">
        <w:rPr>
          <w:rFonts w:asciiTheme="majorBidi" w:hAnsiTheme="majorBidi" w:cstheme="majorBidi"/>
          <w:sz w:val="20"/>
          <w:szCs w:val="20"/>
          <w:rtl/>
        </w:rPr>
        <w:t xml:space="preserve"> </w:t>
      </w:r>
      <w:r w:rsidRPr="00AF55A8">
        <w:rPr>
          <w:rFonts w:asciiTheme="majorBidi" w:hAnsiTheme="majorBidi" w:cstheme="majorBidi"/>
          <w:sz w:val="24"/>
          <w:szCs w:val="24"/>
          <w:rtl/>
        </w:rPr>
        <w:t>وتوظِّف بلاغة السُّلطة داخل الاستشراق المعرفة أداةً لبناء السَّيطرة، وهي سيطرة تتحوَّل لاحقًا إلى علاقة ثقافيَّة، حيث تصبح السُّلطة جوهرًا ملازمًا لجميع مجالات البحث الاجتماعيِّ. وبمجرَّد ترسيخ الهيمنة الغربيَّة، جرى نقل هذه المعرفة من جيل إلى جيل، ما أسفر عن شكل دائم من أشكال الهيمنة الثَّقافيَّة.</w:t>
      </w:r>
    </w:p>
    <w:p w14:paraId="34108D34" w14:textId="77777777" w:rsidR="00AF55A8" w:rsidRPr="00191D58" w:rsidRDefault="00AF55A8" w:rsidP="00AF55A8">
      <w:pPr>
        <w:jc w:val="both"/>
        <w:rPr>
          <w:rFonts w:asciiTheme="majorBidi" w:eastAsia="Calibri" w:hAnsiTheme="majorBidi" w:cstheme="majorBidi"/>
          <w:i/>
          <w:iCs/>
          <w:sz w:val="24"/>
          <w:szCs w:val="24"/>
          <w:rtl/>
        </w:rPr>
      </w:pPr>
      <w:r w:rsidRPr="00DA5039">
        <w:rPr>
          <w:rFonts w:asciiTheme="majorBidi" w:eastAsia="Calibri" w:hAnsiTheme="majorBidi" w:cstheme="majorBidi"/>
          <w:sz w:val="24"/>
          <w:szCs w:val="24"/>
          <w:rtl/>
        </w:rPr>
        <w:t xml:space="preserve">في الفصل الثاني </w:t>
      </w:r>
      <w:r w:rsidRPr="00DA5039">
        <w:rPr>
          <w:rFonts w:asciiTheme="majorBidi" w:eastAsia="Calibri" w:hAnsiTheme="majorBidi" w:cstheme="majorBidi"/>
          <w:i/>
          <w:iCs/>
          <w:sz w:val="24"/>
          <w:szCs w:val="24"/>
          <w:rtl/>
        </w:rPr>
        <w:t xml:space="preserve">البُنى الاستشراقية وإعادة تشكيله ( </w:t>
      </w:r>
      <w:r w:rsidRPr="00DA5039">
        <w:rPr>
          <w:rFonts w:asciiTheme="majorBidi" w:eastAsia="Calibri" w:hAnsiTheme="majorBidi" w:cstheme="majorBidi"/>
          <w:i/>
          <w:iCs/>
          <w:sz w:val="24"/>
          <w:szCs w:val="24"/>
        </w:rPr>
        <w:t>Orientalist Structures and Restructures</w:t>
      </w:r>
      <w:r w:rsidRPr="00DA5039">
        <w:rPr>
          <w:rFonts w:asciiTheme="majorBidi" w:eastAsia="Calibri" w:hAnsiTheme="majorBidi" w:cstheme="majorBidi"/>
          <w:i/>
          <w:iCs/>
          <w:sz w:val="24"/>
          <w:szCs w:val="24"/>
          <w:rtl/>
          <w:lang w:bidi="fa-IR"/>
        </w:rPr>
        <w:t>)،</w:t>
      </w:r>
      <w:r w:rsidRPr="00DA5039">
        <w:rPr>
          <w:rFonts w:asciiTheme="majorBidi" w:eastAsia="Calibri" w:hAnsiTheme="majorBidi" w:cstheme="majorBidi"/>
          <w:sz w:val="24"/>
          <w:szCs w:val="24"/>
          <w:rtl/>
          <w:lang w:bidi="fa-IR"/>
        </w:rPr>
        <w:t xml:space="preserve"> </w:t>
      </w:r>
      <w:r w:rsidRPr="00DA5039">
        <w:rPr>
          <w:rFonts w:asciiTheme="majorBidi" w:eastAsia="Calibri" w:hAnsiTheme="majorBidi" w:cstheme="majorBidi"/>
          <w:sz w:val="24"/>
          <w:szCs w:val="24"/>
          <w:rtl/>
        </w:rPr>
        <w:t xml:space="preserve">يتناول سعيد تجلّيات الاستشراق في القرن التاسع عشر. ولتأطير حجّته، يختار شخصيتين محوريتين هما أنطوان إسحاق </w:t>
      </w:r>
      <w:proofErr w:type="spellStart"/>
      <w:r w:rsidRPr="00DA5039">
        <w:rPr>
          <w:rFonts w:asciiTheme="majorBidi" w:eastAsia="Calibri" w:hAnsiTheme="majorBidi" w:cstheme="majorBidi"/>
          <w:sz w:val="24"/>
          <w:szCs w:val="24"/>
          <w:rtl/>
        </w:rPr>
        <w:t>سيلفستر</w:t>
      </w:r>
      <w:proofErr w:type="spellEnd"/>
      <w:r w:rsidRPr="00DA5039">
        <w:rPr>
          <w:rFonts w:asciiTheme="majorBidi" w:eastAsia="Calibri" w:hAnsiTheme="majorBidi" w:cstheme="majorBidi"/>
          <w:sz w:val="24"/>
          <w:szCs w:val="24"/>
          <w:rtl/>
        </w:rPr>
        <w:t xml:space="preserve"> دو ساسي </w:t>
      </w:r>
      <w:proofErr w:type="spellStart"/>
      <w:r w:rsidRPr="00DA5039">
        <w:rPr>
          <w:rFonts w:asciiTheme="majorBidi" w:eastAsia="Calibri" w:hAnsiTheme="majorBidi" w:cstheme="majorBidi"/>
          <w:sz w:val="24"/>
          <w:szCs w:val="24"/>
          <w:rtl/>
        </w:rPr>
        <w:t>وإرنست</w:t>
      </w:r>
      <w:proofErr w:type="spellEnd"/>
      <w:r w:rsidRPr="00DA5039">
        <w:rPr>
          <w:rFonts w:asciiTheme="majorBidi" w:eastAsia="Calibri" w:hAnsiTheme="majorBidi" w:cstheme="majorBidi"/>
          <w:sz w:val="24"/>
          <w:szCs w:val="24"/>
          <w:rtl/>
        </w:rPr>
        <w:t xml:space="preserve"> رينان. ويُنظر إلى أعمال رينان على نطاق واسع بوصفها تجسيدًا لعبارة بنيامين </w:t>
      </w:r>
      <w:proofErr w:type="spellStart"/>
      <w:r w:rsidRPr="00DA5039">
        <w:rPr>
          <w:rFonts w:asciiTheme="majorBidi" w:eastAsia="Calibri" w:hAnsiTheme="majorBidi" w:cstheme="majorBidi"/>
          <w:sz w:val="24"/>
          <w:szCs w:val="24"/>
          <w:rtl/>
        </w:rPr>
        <w:t>دزرائيلي</w:t>
      </w:r>
      <w:proofErr w:type="spellEnd"/>
      <w:r w:rsidRPr="00DA5039">
        <w:rPr>
          <w:rFonts w:asciiTheme="majorBidi" w:eastAsia="Calibri" w:hAnsiTheme="majorBidi" w:cstheme="majorBidi"/>
          <w:sz w:val="24"/>
          <w:szCs w:val="24"/>
          <w:rtl/>
        </w:rPr>
        <w:t xml:space="preserve"> الشهيرة: «الشرق مهنة».</w:t>
      </w:r>
      <w:r w:rsidRPr="00DA5039">
        <w:rPr>
          <w:rFonts w:asciiTheme="majorBidi" w:eastAsia="Calibri" w:hAnsiTheme="majorBidi" w:cstheme="majorBidi"/>
          <w:sz w:val="24"/>
          <w:szCs w:val="24"/>
        </w:rPr>
        <w:br/>
      </w:r>
      <w:r w:rsidRPr="00191D58">
        <w:rPr>
          <w:rFonts w:asciiTheme="majorBidi" w:eastAsia="Calibri" w:hAnsiTheme="majorBidi" w:cstheme="majorBidi"/>
          <w:sz w:val="24"/>
          <w:szCs w:val="24"/>
          <w:rtl/>
        </w:rPr>
        <w:t xml:space="preserve">في هذا السياق، يُعدّ دو ساسي «المؤسِّس الذي تمثّل أعماله نشأة الحقل وترسّخه بصفة تخصص أكاديمي في القرن التاسع عشر، بجذور تعود إلى الرومانسية الثورية»، في حين تتمثّل وظيفة رينان، بوصفه من الجيل الثاني، في «ترسيخ الخطاب الرسمي للاستشراق، وتنظيم معارفه، وتأسيس مؤسّساته الفكرية والدنيوية» </w:t>
      </w:r>
      <w:r w:rsidRPr="00191D58">
        <w:rPr>
          <w:rFonts w:asciiTheme="majorBidi" w:eastAsia="Calibri" w:hAnsiTheme="majorBidi" w:cstheme="majorBidi"/>
          <w:i/>
          <w:iCs/>
          <w:rtl/>
        </w:rPr>
        <w:t>(سعيد، 2003: 130)</w:t>
      </w:r>
      <w:r w:rsidRPr="00191D58">
        <w:rPr>
          <w:rFonts w:asciiTheme="majorBidi" w:eastAsia="Calibri" w:hAnsiTheme="majorBidi" w:cstheme="majorBidi" w:hint="cs"/>
          <w:i/>
          <w:iCs/>
          <w:rtl/>
        </w:rPr>
        <w:t>.</w:t>
      </w:r>
    </w:p>
    <w:p w14:paraId="7A05CC7E" w14:textId="77777777" w:rsidR="00AF55A8" w:rsidRDefault="00AF55A8" w:rsidP="00AF55A8">
      <w:pPr>
        <w:spacing w:after="0"/>
        <w:jc w:val="both"/>
        <w:rPr>
          <w:rFonts w:asciiTheme="majorBidi" w:eastAsia="Calibri" w:hAnsiTheme="majorBidi" w:cs="Times New Roman"/>
          <w:sz w:val="24"/>
          <w:szCs w:val="24"/>
          <w:rtl/>
        </w:rPr>
      </w:pPr>
      <w:r w:rsidRPr="00191D58">
        <w:rPr>
          <w:rFonts w:asciiTheme="majorBidi" w:eastAsia="Calibri" w:hAnsiTheme="majorBidi" w:cs="Times New Roman"/>
          <w:sz w:val="24"/>
          <w:szCs w:val="24"/>
          <w:rtl/>
        </w:rPr>
        <w:t>ويقدّم سعيد ثلاث ملاحظات أساسية بشأن أعمال رينان:</w:t>
      </w:r>
    </w:p>
    <w:p w14:paraId="4B82FE5A" w14:textId="77777777" w:rsidR="00AF55A8" w:rsidRDefault="00AF55A8" w:rsidP="00AF55A8">
      <w:pPr>
        <w:spacing w:after="0"/>
        <w:rPr>
          <w:rFonts w:asciiTheme="majorBidi" w:eastAsia="Calibri" w:hAnsiTheme="majorBidi" w:cstheme="majorBidi"/>
          <w:sz w:val="24"/>
          <w:szCs w:val="24"/>
          <w:rtl/>
        </w:rPr>
      </w:pPr>
      <w:r w:rsidRPr="00191D58">
        <w:rPr>
          <w:rFonts w:asciiTheme="majorBidi" w:eastAsia="Calibri" w:hAnsiTheme="majorBidi" w:cstheme="majorBidi"/>
          <w:sz w:val="24"/>
          <w:szCs w:val="24"/>
          <w:rtl/>
        </w:rPr>
        <w:t>أولًا: أنّها كانت عنصرية؛</w:t>
      </w:r>
    </w:p>
    <w:p w14:paraId="7B6490D8" w14:textId="77777777" w:rsidR="00AF55A8" w:rsidRDefault="00AF55A8" w:rsidP="00AF55A8">
      <w:pPr>
        <w:spacing w:after="0"/>
        <w:rPr>
          <w:rFonts w:asciiTheme="majorBidi" w:eastAsia="Calibri" w:hAnsiTheme="majorBidi" w:cstheme="majorBidi"/>
          <w:sz w:val="24"/>
          <w:szCs w:val="24"/>
          <w:rtl/>
        </w:rPr>
      </w:pPr>
      <w:r w:rsidRPr="00191D58">
        <w:rPr>
          <w:rFonts w:asciiTheme="majorBidi" w:eastAsia="Calibri" w:hAnsiTheme="majorBidi" w:cstheme="majorBidi"/>
          <w:sz w:val="24"/>
          <w:szCs w:val="24"/>
          <w:rtl/>
        </w:rPr>
        <w:t>ثانيًا:</w:t>
      </w:r>
      <w:r w:rsidRPr="00191D58">
        <w:rPr>
          <w:rFonts w:asciiTheme="majorBidi" w:eastAsia="Calibri" w:hAnsiTheme="majorBidi" w:cstheme="majorBidi"/>
          <w:b/>
          <w:bCs/>
          <w:sz w:val="24"/>
          <w:szCs w:val="24"/>
          <w:rtl/>
        </w:rPr>
        <w:t xml:space="preserve"> </w:t>
      </w:r>
      <w:r w:rsidRPr="00191D58">
        <w:rPr>
          <w:rFonts w:asciiTheme="majorBidi" w:eastAsia="Calibri" w:hAnsiTheme="majorBidi" w:cstheme="majorBidi"/>
          <w:sz w:val="24"/>
          <w:szCs w:val="24"/>
          <w:rtl/>
        </w:rPr>
        <w:t xml:space="preserve">أنّ هذه العنصرية انسجمت مع الخطاب </w:t>
      </w:r>
      <w:proofErr w:type="spellStart"/>
      <w:r w:rsidRPr="00191D58">
        <w:rPr>
          <w:rFonts w:asciiTheme="majorBidi" w:eastAsia="Calibri" w:hAnsiTheme="majorBidi" w:cstheme="majorBidi"/>
          <w:sz w:val="24"/>
          <w:szCs w:val="24"/>
          <w:rtl/>
        </w:rPr>
        <w:t>الإستشراقي</w:t>
      </w:r>
      <w:proofErr w:type="spellEnd"/>
      <w:r w:rsidRPr="00191D58">
        <w:rPr>
          <w:rFonts w:asciiTheme="majorBidi" w:eastAsia="Calibri" w:hAnsiTheme="majorBidi" w:cstheme="majorBidi"/>
          <w:sz w:val="24"/>
          <w:szCs w:val="24"/>
          <w:rtl/>
        </w:rPr>
        <w:t xml:space="preserve"> السائد؛</w:t>
      </w:r>
    </w:p>
    <w:p w14:paraId="5C15999D" w14:textId="77777777" w:rsidR="00AF55A8" w:rsidRPr="002319D5" w:rsidRDefault="00AF55A8" w:rsidP="00AF55A8">
      <w:pPr>
        <w:spacing w:after="0"/>
        <w:rPr>
          <w:rFonts w:asciiTheme="majorBidi" w:eastAsia="Calibri" w:hAnsiTheme="majorBidi" w:cstheme="majorBidi"/>
          <w:i/>
          <w:iCs/>
          <w:rtl/>
        </w:rPr>
      </w:pPr>
      <w:r w:rsidRPr="00191D58">
        <w:rPr>
          <w:rFonts w:asciiTheme="majorBidi" w:eastAsia="Calibri" w:hAnsiTheme="majorBidi" w:cstheme="majorBidi"/>
          <w:sz w:val="24"/>
          <w:szCs w:val="24"/>
          <w:rtl/>
        </w:rPr>
        <w:t>وثالثًا:</w:t>
      </w:r>
      <w:r w:rsidRPr="00191D58">
        <w:rPr>
          <w:rFonts w:asciiTheme="majorBidi" w:eastAsia="Calibri" w:hAnsiTheme="majorBidi" w:cstheme="majorBidi"/>
          <w:b/>
          <w:bCs/>
          <w:sz w:val="24"/>
          <w:szCs w:val="24"/>
          <w:rtl/>
        </w:rPr>
        <w:t xml:space="preserve"> </w:t>
      </w:r>
      <w:r w:rsidRPr="00191D58">
        <w:rPr>
          <w:rFonts w:asciiTheme="majorBidi" w:eastAsia="Calibri" w:hAnsiTheme="majorBidi" w:cstheme="majorBidi"/>
          <w:sz w:val="24"/>
          <w:szCs w:val="24"/>
          <w:rtl/>
        </w:rPr>
        <w:t>أنّ كتاباته كانت شديدة التأثير في تشكيل خطاب الاستشراق (</w:t>
      </w:r>
      <w:r w:rsidRPr="00191D58">
        <w:rPr>
          <w:rFonts w:asciiTheme="majorBidi" w:eastAsia="Calibri" w:hAnsiTheme="majorBidi" w:cstheme="majorBidi"/>
          <w:i/>
          <w:iCs/>
          <w:rtl/>
        </w:rPr>
        <w:t>سعيد، 2003: 156).</w:t>
      </w:r>
      <w:r w:rsidRPr="00191D58">
        <w:rPr>
          <w:rFonts w:asciiTheme="majorBidi" w:eastAsia="Calibri" w:hAnsiTheme="majorBidi" w:cstheme="majorBidi"/>
          <w:rtl/>
        </w:rPr>
        <w:t xml:space="preserve"> </w:t>
      </w:r>
      <w:r w:rsidRPr="00191D58">
        <w:rPr>
          <w:rFonts w:asciiTheme="majorBidi" w:eastAsia="Calibri" w:hAnsiTheme="majorBidi" w:cstheme="majorBidi"/>
          <w:sz w:val="24"/>
          <w:szCs w:val="24"/>
        </w:rPr>
        <w:br/>
      </w:r>
      <w:r w:rsidRPr="00191D58">
        <w:rPr>
          <w:rFonts w:asciiTheme="majorBidi" w:eastAsia="Calibri" w:hAnsiTheme="majorBidi" w:cstheme="majorBidi"/>
          <w:sz w:val="24"/>
          <w:szCs w:val="24"/>
        </w:rPr>
        <w:br/>
      </w:r>
      <w:r w:rsidRPr="002319D5">
        <w:rPr>
          <w:rFonts w:asciiTheme="majorBidi" w:eastAsia="Calibri" w:hAnsiTheme="majorBidi" w:cstheme="majorBidi"/>
          <w:sz w:val="24"/>
          <w:szCs w:val="24"/>
          <w:rtl/>
        </w:rPr>
        <w:t>ويكتب سعيد أنّ رينان «لم يتحدّث بوصفه إنسانًا يخاطب الإنسانية جمعاء، بل بوصفه صوتًا متخصصًا تأمّليًا، افترض</w:t>
      </w:r>
      <w:r w:rsidRPr="002319D5">
        <w:rPr>
          <w:rFonts w:asciiTheme="majorBidi" w:eastAsia="Calibri" w:hAnsiTheme="majorBidi" w:cstheme="majorBidi" w:hint="cs"/>
          <w:sz w:val="24"/>
          <w:szCs w:val="24"/>
          <w:rtl/>
        </w:rPr>
        <w:t xml:space="preserve">، </w:t>
      </w:r>
      <w:r w:rsidRPr="002319D5">
        <w:rPr>
          <w:rFonts w:asciiTheme="majorBidi" w:eastAsia="Calibri" w:hAnsiTheme="majorBidi" w:cstheme="majorBidi"/>
          <w:sz w:val="24"/>
          <w:szCs w:val="24"/>
          <w:rtl/>
        </w:rPr>
        <w:t>كما صرّح في مقدّمة عام 1890</w:t>
      </w:r>
      <w:r w:rsidRPr="002319D5">
        <w:rPr>
          <w:rFonts w:asciiTheme="majorBidi" w:eastAsia="Calibri" w:hAnsiTheme="majorBidi" w:cstheme="majorBidi" w:hint="cs"/>
          <w:sz w:val="24"/>
          <w:szCs w:val="24"/>
          <w:rtl/>
        </w:rPr>
        <w:t xml:space="preserve">، </w:t>
      </w:r>
      <w:r w:rsidRPr="002319D5">
        <w:rPr>
          <w:rFonts w:asciiTheme="majorBidi" w:eastAsia="Calibri" w:hAnsiTheme="majorBidi" w:cstheme="majorBidi"/>
          <w:sz w:val="24"/>
          <w:szCs w:val="24"/>
          <w:rtl/>
        </w:rPr>
        <w:t xml:space="preserve">عدم مساواة الأعراق، وضرورة سيطرة القلّة على الكثرة، باعتبار ذلك قانونًا طبيعيًا مضادًا للديمقراطية في الطبيعة والمجتمع» </w:t>
      </w:r>
      <w:r w:rsidRPr="002319D5">
        <w:rPr>
          <w:rFonts w:asciiTheme="majorBidi" w:eastAsia="Calibri" w:hAnsiTheme="majorBidi" w:cstheme="majorBidi"/>
          <w:i/>
          <w:iCs/>
          <w:rtl/>
        </w:rPr>
        <w:t>(سعيد، 2003: 133).</w:t>
      </w:r>
    </w:p>
    <w:p w14:paraId="43B312A6" w14:textId="77777777" w:rsidR="00AF55A8" w:rsidRDefault="00AF55A8" w:rsidP="00AF55A8">
      <w:pPr>
        <w:spacing w:before="240"/>
        <w:rPr>
          <w:rFonts w:asciiTheme="majorBidi" w:eastAsia="Calibri" w:hAnsiTheme="majorBidi" w:cstheme="majorBidi"/>
          <w:sz w:val="24"/>
          <w:szCs w:val="24"/>
          <w:rtl/>
        </w:rPr>
      </w:pPr>
      <w:r w:rsidRPr="001D7801">
        <w:rPr>
          <w:rFonts w:asciiTheme="majorBidi" w:eastAsia="Calibri" w:hAnsiTheme="majorBidi" w:cs="Times New Roman"/>
          <w:sz w:val="24"/>
          <w:szCs w:val="24"/>
          <w:rtl/>
        </w:rPr>
        <w:t xml:space="preserve">وتكمل أعمال رينان، إلى جانب أعمال المستشرق الفرنسي </w:t>
      </w:r>
      <w:proofErr w:type="spellStart"/>
      <w:r w:rsidRPr="001D7801">
        <w:rPr>
          <w:rFonts w:asciiTheme="majorBidi" w:eastAsia="Calibri" w:hAnsiTheme="majorBidi" w:cs="Times New Roman"/>
          <w:sz w:val="24"/>
          <w:szCs w:val="24"/>
          <w:rtl/>
        </w:rPr>
        <w:t>سيلفستر</w:t>
      </w:r>
      <w:proofErr w:type="spellEnd"/>
      <w:r w:rsidRPr="001D7801">
        <w:rPr>
          <w:rFonts w:asciiTheme="majorBidi" w:eastAsia="Calibri" w:hAnsiTheme="majorBidi" w:cs="Times New Roman"/>
          <w:sz w:val="24"/>
          <w:szCs w:val="24"/>
          <w:rtl/>
        </w:rPr>
        <w:t xml:space="preserve"> دو ساسي، ما يشكّل «مكتبة هائلة لا يستطيع أحد، ولا حتى ماركس، التمرّد عليها أو تجاهلها» </w:t>
      </w:r>
      <w:r w:rsidRPr="001D7801">
        <w:rPr>
          <w:rFonts w:asciiTheme="majorBidi" w:eastAsia="Calibri" w:hAnsiTheme="majorBidi" w:cs="Times New Roman"/>
          <w:i/>
          <w:iCs/>
          <w:rtl/>
        </w:rPr>
        <w:t>(سعيد، 2003: 157).</w:t>
      </w:r>
      <w:r w:rsidRPr="00191D58">
        <w:rPr>
          <w:rFonts w:asciiTheme="majorBidi" w:eastAsia="Calibri" w:hAnsiTheme="majorBidi" w:cstheme="majorBidi"/>
          <w:sz w:val="24"/>
          <w:szCs w:val="24"/>
        </w:rPr>
        <w:br/>
      </w:r>
      <w:r w:rsidRPr="001D7801">
        <w:rPr>
          <w:rFonts w:asciiTheme="majorBidi" w:eastAsia="Calibri" w:hAnsiTheme="majorBidi" w:cs="Times New Roman"/>
          <w:sz w:val="24"/>
          <w:szCs w:val="24"/>
          <w:rtl/>
        </w:rPr>
        <w:t xml:space="preserve">في الفصل الثالث </w:t>
      </w:r>
      <w:r w:rsidRPr="001D7801">
        <w:rPr>
          <w:rFonts w:asciiTheme="majorBidi" w:eastAsia="Calibri" w:hAnsiTheme="majorBidi" w:cs="Times New Roman"/>
          <w:i/>
          <w:iCs/>
          <w:sz w:val="24"/>
          <w:szCs w:val="24"/>
          <w:rtl/>
        </w:rPr>
        <w:t>المعنون الاستشراق الآن (</w:t>
      </w:r>
      <w:r w:rsidRPr="001D7801">
        <w:rPr>
          <w:rFonts w:asciiTheme="majorBidi" w:eastAsia="Calibri" w:hAnsiTheme="majorBidi" w:cstheme="majorBidi"/>
          <w:i/>
          <w:iCs/>
          <w:sz w:val="24"/>
          <w:szCs w:val="24"/>
        </w:rPr>
        <w:t>Orientalism Now</w:t>
      </w:r>
      <w:r w:rsidRPr="001D7801">
        <w:rPr>
          <w:rFonts w:asciiTheme="majorBidi" w:eastAsia="Calibri" w:hAnsiTheme="majorBidi" w:cs="Times New Roman"/>
          <w:i/>
          <w:iCs/>
          <w:sz w:val="24"/>
          <w:szCs w:val="24"/>
          <w:rtl/>
        </w:rPr>
        <w:t xml:space="preserve">) </w:t>
      </w:r>
      <w:r w:rsidRPr="001D7801">
        <w:rPr>
          <w:rFonts w:asciiTheme="majorBidi" w:eastAsia="Calibri" w:hAnsiTheme="majorBidi" w:cs="Times New Roman"/>
          <w:sz w:val="24"/>
          <w:szCs w:val="24"/>
          <w:rtl/>
        </w:rPr>
        <w:t xml:space="preserve">يركز سعيد على انتقال مركز السلطة من بريطانيا وفرنسا إلى الولايات المتحدة في فترة ما بعد الحرب العالمية الثانية. ويشير إلى تحول بارز من «موقف أكاديمي» إلى «موقف أداتي نفعي» </w:t>
      </w:r>
      <w:r w:rsidRPr="001D7801">
        <w:rPr>
          <w:rFonts w:asciiTheme="majorBidi" w:eastAsia="Calibri" w:hAnsiTheme="majorBidi" w:cs="Times New Roman"/>
          <w:i/>
          <w:iCs/>
          <w:rtl/>
        </w:rPr>
        <w:t>(سعيد، 2003: 246).</w:t>
      </w:r>
    </w:p>
    <w:p w14:paraId="47DF3263" w14:textId="77777777" w:rsidR="00AF55A8" w:rsidRDefault="00AF55A8" w:rsidP="00AF55A8">
      <w:pPr>
        <w:jc w:val="both"/>
        <w:rPr>
          <w:rFonts w:asciiTheme="majorBidi" w:eastAsia="Calibri" w:hAnsiTheme="majorBidi" w:cs="Times New Roman"/>
          <w:sz w:val="24"/>
          <w:szCs w:val="24"/>
          <w:rtl/>
        </w:rPr>
      </w:pPr>
      <w:r w:rsidRPr="001D7801">
        <w:rPr>
          <w:rFonts w:asciiTheme="majorBidi" w:eastAsia="Calibri" w:hAnsiTheme="majorBidi" w:cs="Times New Roman"/>
          <w:sz w:val="24"/>
          <w:szCs w:val="24"/>
          <w:rtl/>
        </w:rPr>
        <w:t>ويرى أن هذا التحول يتجلى بوضوح في أمثلة ملموسة للاستغلال والعدوان والاحتلال والتدخل الأمريكي في مناطق مختلفة من العالم.</w:t>
      </w:r>
    </w:p>
    <w:p w14:paraId="589CCFC3" w14:textId="77777777" w:rsidR="00AF55A8" w:rsidRDefault="00AF55A8" w:rsidP="00AF55A8">
      <w:pPr>
        <w:jc w:val="both"/>
        <w:rPr>
          <w:rFonts w:asciiTheme="majorBidi" w:eastAsia="Calibri" w:hAnsiTheme="majorBidi" w:cstheme="majorBidi"/>
          <w:sz w:val="24"/>
          <w:szCs w:val="24"/>
          <w:rtl/>
        </w:rPr>
      </w:pPr>
      <w:r w:rsidRPr="001D7801">
        <w:rPr>
          <w:rFonts w:asciiTheme="majorBidi" w:eastAsia="Calibri" w:hAnsiTheme="majorBidi" w:cs="Times New Roman"/>
          <w:sz w:val="24"/>
          <w:szCs w:val="24"/>
          <w:rtl/>
        </w:rPr>
        <w:t>وفي هذا الفصل، يقدم سعيد تمييزه الشهير بين</w:t>
      </w:r>
      <w:r w:rsidRPr="00342E8A">
        <w:rPr>
          <w:rFonts w:asciiTheme="majorBidi" w:eastAsia="Calibri" w:hAnsiTheme="majorBidi" w:cs="Times New Roman"/>
          <w:i/>
          <w:iCs/>
          <w:sz w:val="24"/>
          <w:szCs w:val="24"/>
          <w:rtl/>
        </w:rPr>
        <w:t xml:space="preserve"> الاستشراق الكامن (</w:t>
      </w:r>
      <w:r w:rsidRPr="00342E8A">
        <w:rPr>
          <w:rFonts w:asciiTheme="majorBidi" w:eastAsia="Calibri" w:hAnsiTheme="majorBidi" w:cstheme="majorBidi"/>
          <w:i/>
          <w:iCs/>
          <w:sz w:val="24"/>
          <w:szCs w:val="24"/>
        </w:rPr>
        <w:t>Latent Orientalism</w:t>
      </w:r>
      <w:r w:rsidRPr="001D7801">
        <w:rPr>
          <w:rFonts w:asciiTheme="majorBidi" w:eastAsia="Calibri" w:hAnsiTheme="majorBidi" w:cs="Times New Roman"/>
          <w:sz w:val="24"/>
          <w:szCs w:val="24"/>
          <w:rtl/>
        </w:rPr>
        <w:t>) و</w:t>
      </w:r>
      <w:r w:rsidRPr="00342E8A">
        <w:rPr>
          <w:rFonts w:asciiTheme="majorBidi" w:eastAsia="Calibri" w:hAnsiTheme="majorBidi" w:cs="Times New Roman"/>
          <w:i/>
          <w:iCs/>
          <w:sz w:val="24"/>
          <w:szCs w:val="24"/>
          <w:rtl/>
        </w:rPr>
        <w:t>الاستشراق الظاهر (</w:t>
      </w:r>
      <w:r w:rsidRPr="00342E8A">
        <w:rPr>
          <w:rFonts w:asciiTheme="majorBidi" w:eastAsia="Calibri" w:hAnsiTheme="majorBidi" w:cstheme="majorBidi"/>
          <w:i/>
          <w:iCs/>
          <w:sz w:val="24"/>
          <w:szCs w:val="24"/>
        </w:rPr>
        <w:t>Manifest Orientalism</w:t>
      </w:r>
      <w:r w:rsidRPr="00342E8A">
        <w:rPr>
          <w:rFonts w:asciiTheme="majorBidi" w:eastAsia="Calibri" w:hAnsiTheme="majorBidi" w:cs="Times New Roman"/>
          <w:i/>
          <w:iCs/>
          <w:sz w:val="24"/>
          <w:szCs w:val="24"/>
          <w:rtl/>
        </w:rPr>
        <w:t xml:space="preserve">). </w:t>
      </w:r>
      <w:r w:rsidRPr="001D7801">
        <w:rPr>
          <w:rFonts w:asciiTheme="majorBidi" w:eastAsia="Calibri" w:hAnsiTheme="majorBidi" w:cs="Times New Roman"/>
          <w:sz w:val="24"/>
          <w:szCs w:val="24"/>
          <w:rtl/>
        </w:rPr>
        <w:t>فالاستشراق الكامن لا يتمثل في نظريات مطبّقة بصورة مباشرة، بل يقيم في يقين لا واعٍ عام مفاده أن الشرق هو على النحو الذي صوّره المستشرقون وكرّسوه في أعمالهم. ويقول سعيد:</w:t>
      </w:r>
    </w:p>
    <w:p w14:paraId="12DB56D7" w14:textId="77777777" w:rsidR="00AF55A8" w:rsidRDefault="00AF55A8" w:rsidP="00AF55A8">
      <w:pPr>
        <w:jc w:val="both"/>
        <w:rPr>
          <w:rFonts w:asciiTheme="majorBidi" w:eastAsia="Calibri" w:hAnsiTheme="majorBidi" w:cstheme="majorBidi"/>
          <w:sz w:val="24"/>
          <w:szCs w:val="24"/>
          <w:rtl/>
        </w:rPr>
      </w:pPr>
      <w:r w:rsidRPr="00342E8A">
        <w:rPr>
          <w:rFonts w:asciiTheme="majorBidi" w:eastAsia="Calibri" w:hAnsiTheme="majorBidi" w:cs="Times New Roman"/>
          <w:b/>
          <w:bCs/>
          <w:sz w:val="24"/>
          <w:szCs w:val="24"/>
          <w:rtl/>
        </w:rPr>
        <w:t>«إنّ التمييز الذي أقيمه هو في الحقيقة بين إيجابية شبه لا واعية (وأحيانًا غير قابلة للمساس)، أسمّيها الاستشراق الكامن، وبين الآراء المعلنة والمتداولة حول المجتمع الشرقي، ولغاته، وآدابه، وتاريخه، وعلم الاجتماع فيه، وغيرها، والتي أسمّيها الاستشراق الظاهر»</w:t>
      </w:r>
      <w:r w:rsidRPr="00342E8A">
        <w:rPr>
          <w:rFonts w:asciiTheme="majorBidi" w:eastAsia="Calibri" w:hAnsiTheme="majorBidi" w:cs="Times New Roman"/>
          <w:sz w:val="24"/>
          <w:szCs w:val="24"/>
          <w:rtl/>
        </w:rPr>
        <w:t xml:space="preserve"> </w:t>
      </w:r>
      <w:r w:rsidRPr="002573C8">
        <w:rPr>
          <w:rFonts w:asciiTheme="majorBidi" w:eastAsia="Calibri" w:hAnsiTheme="majorBidi" w:cs="Times New Roman"/>
          <w:i/>
          <w:iCs/>
          <w:rtl/>
        </w:rPr>
        <w:t>(سعيد، 2003: 354–355).</w:t>
      </w:r>
    </w:p>
    <w:p w14:paraId="039F3845" w14:textId="77777777" w:rsidR="00AF55A8" w:rsidRDefault="00AF55A8" w:rsidP="00AF55A8">
      <w:pPr>
        <w:rPr>
          <w:rFonts w:asciiTheme="majorBidi" w:eastAsia="Calibri" w:hAnsiTheme="majorBidi" w:cstheme="majorBidi"/>
          <w:sz w:val="24"/>
          <w:szCs w:val="24"/>
          <w:rtl/>
        </w:rPr>
      </w:pPr>
      <w:r w:rsidRPr="00342E8A">
        <w:rPr>
          <w:rFonts w:asciiTheme="majorBidi" w:eastAsia="Calibri" w:hAnsiTheme="majorBidi" w:cs="Times New Roman"/>
          <w:sz w:val="24"/>
          <w:szCs w:val="24"/>
          <w:rtl/>
        </w:rPr>
        <w:t xml:space="preserve">وبحسب سعيد، يتكوّن الاستشراق الكامن من ثلاث سمات عامة رئيسة: العنصرية، والمركزية العرقية، والتمييز الجنسي </w:t>
      </w:r>
      <w:r w:rsidRPr="00342E8A">
        <w:rPr>
          <w:rFonts w:asciiTheme="majorBidi" w:eastAsia="Calibri" w:hAnsiTheme="majorBidi" w:cs="Times New Roman"/>
          <w:i/>
          <w:iCs/>
          <w:rtl/>
        </w:rPr>
        <w:t>(</w:t>
      </w:r>
      <w:proofErr w:type="spellStart"/>
      <w:r w:rsidRPr="00342E8A">
        <w:rPr>
          <w:rFonts w:asciiTheme="majorBidi" w:eastAsia="Calibri" w:hAnsiTheme="majorBidi" w:cs="Times New Roman"/>
          <w:i/>
          <w:iCs/>
          <w:rtl/>
        </w:rPr>
        <w:t>فاريسكو</w:t>
      </w:r>
      <w:proofErr w:type="spellEnd"/>
      <w:r w:rsidRPr="00342E8A">
        <w:rPr>
          <w:rFonts w:asciiTheme="majorBidi" w:eastAsia="Calibri" w:hAnsiTheme="majorBidi" w:cs="Times New Roman"/>
          <w:i/>
          <w:iCs/>
          <w:rtl/>
        </w:rPr>
        <w:t>، 2007: 58).</w:t>
      </w:r>
    </w:p>
    <w:p w14:paraId="0E3E7175" w14:textId="77777777" w:rsidR="00AF55A8" w:rsidRDefault="00AF55A8" w:rsidP="00AF55A8">
      <w:pPr>
        <w:jc w:val="both"/>
        <w:rPr>
          <w:rFonts w:asciiTheme="majorBidi" w:eastAsia="Calibri" w:hAnsiTheme="majorBidi" w:cstheme="majorBidi"/>
          <w:sz w:val="24"/>
          <w:szCs w:val="24"/>
          <w:rtl/>
        </w:rPr>
      </w:pPr>
      <w:r w:rsidRPr="00342E8A">
        <w:rPr>
          <w:rFonts w:asciiTheme="majorBidi" w:eastAsia="Calibri" w:hAnsiTheme="majorBidi" w:cs="Times New Roman"/>
          <w:sz w:val="24"/>
          <w:szCs w:val="24"/>
          <w:rtl/>
        </w:rPr>
        <w:t xml:space="preserve">ومن ثمّ، فإن الاستشراق الكامن يشكّل جزءًا بنيويًا من الخطاب </w:t>
      </w:r>
      <w:proofErr w:type="spellStart"/>
      <w:r w:rsidRPr="00342E8A">
        <w:rPr>
          <w:rFonts w:asciiTheme="majorBidi" w:eastAsia="Calibri" w:hAnsiTheme="majorBidi" w:cs="Times New Roman"/>
          <w:sz w:val="24"/>
          <w:szCs w:val="24"/>
          <w:rtl/>
        </w:rPr>
        <w:t>الاستشراقي</w:t>
      </w:r>
      <w:proofErr w:type="spellEnd"/>
      <w:r w:rsidRPr="00342E8A">
        <w:rPr>
          <w:rFonts w:asciiTheme="majorBidi" w:eastAsia="Calibri" w:hAnsiTheme="majorBidi" w:cs="Times New Roman"/>
          <w:sz w:val="24"/>
          <w:szCs w:val="24"/>
          <w:rtl/>
        </w:rPr>
        <w:t xml:space="preserve"> داخل المجتمع، لأنه يحدّد الرؤية الشعبية التي يتبنّاها الغرب تجاه الشرق. ويسمح هذا التمييز لسعيد بالتأكيد على أن الاستشراق الحديث، الذي يتجلّى في هيمنة الإمبريالية الأمريكية، إنما هو في جوهره متجذّر في الاستشراق الكامن.</w:t>
      </w:r>
    </w:p>
    <w:p w14:paraId="75B803D7" w14:textId="77777777" w:rsidR="00AF55A8" w:rsidRPr="00AF55A8" w:rsidRDefault="00AF55A8" w:rsidP="00AF55A8">
      <w:pPr>
        <w:bidi w:val="0"/>
        <w:jc w:val="right"/>
        <w:rPr>
          <w:rFonts w:asciiTheme="majorBidi" w:hAnsiTheme="majorBidi" w:cstheme="majorBidi"/>
          <w:b/>
          <w:bCs/>
          <w:sz w:val="28"/>
          <w:szCs w:val="28"/>
        </w:rPr>
      </w:pPr>
      <w:r w:rsidRPr="00AF55A8">
        <w:rPr>
          <w:rFonts w:asciiTheme="majorBidi" w:hAnsiTheme="majorBidi" w:cstheme="majorBidi"/>
          <w:sz w:val="28"/>
          <w:szCs w:val="28"/>
        </w:rPr>
        <w:t xml:space="preserve">   </w:t>
      </w:r>
      <w:r w:rsidRPr="00AF55A8">
        <w:rPr>
          <w:rFonts w:asciiTheme="majorBidi" w:hAnsiTheme="majorBidi" w:cstheme="majorBidi"/>
          <w:b/>
          <w:bCs/>
          <w:sz w:val="28"/>
          <w:szCs w:val="28"/>
        </w:rPr>
        <w:t>(Historical criticism of Orientalism)</w:t>
      </w:r>
      <w:r w:rsidRPr="00AF55A8">
        <w:rPr>
          <w:rFonts w:asciiTheme="majorBidi" w:hAnsiTheme="majorBidi" w:cstheme="majorBidi"/>
          <w:sz w:val="28"/>
          <w:szCs w:val="28"/>
        </w:rPr>
        <w:t xml:space="preserve"> </w:t>
      </w:r>
      <w:r w:rsidRPr="00AF55A8">
        <w:rPr>
          <w:rFonts w:asciiTheme="majorBidi" w:hAnsiTheme="majorBidi" w:cstheme="majorBidi"/>
          <w:b/>
          <w:bCs/>
          <w:sz w:val="28"/>
          <w:szCs w:val="28"/>
          <w:rtl/>
        </w:rPr>
        <w:t>النقد التاريخي للاستشراق</w:t>
      </w:r>
    </w:p>
    <w:p w14:paraId="4E0DC186" w14:textId="09ED51AB" w:rsidR="00AF55A8" w:rsidRDefault="00AF55A8" w:rsidP="00AF55A8">
      <w:pPr>
        <w:rPr>
          <w:rFonts w:asciiTheme="majorBidi" w:eastAsia="Calibri" w:hAnsiTheme="majorBidi" w:cstheme="majorBidi"/>
          <w:sz w:val="24"/>
          <w:szCs w:val="24"/>
          <w:rtl/>
        </w:rPr>
      </w:pPr>
    </w:p>
    <w:p w14:paraId="2AD03EF7" w14:textId="77777777" w:rsidR="00AF55A8" w:rsidRDefault="00AF55A8" w:rsidP="00AF55A8">
      <w:pPr>
        <w:jc w:val="both"/>
        <w:rPr>
          <w:rFonts w:asciiTheme="majorBidi" w:eastAsia="Calibri" w:hAnsiTheme="majorBidi" w:cstheme="majorBidi"/>
          <w:i/>
          <w:iCs/>
          <w:rtl/>
        </w:rPr>
      </w:pPr>
      <w:r w:rsidRPr="00D33073">
        <w:rPr>
          <w:rFonts w:asciiTheme="majorBidi" w:eastAsia="Calibri" w:hAnsiTheme="majorBidi" w:cs="Times New Roman"/>
          <w:sz w:val="24"/>
          <w:szCs w:val="24"/>
          <w:rtl/>
        </w:rPr>
        <w:t xml:space="preserve">يتمثّل الاعتراض الرئيس على طرح إدوارد سعيد للاستشراق فيما اعتُبر أخطاءً تاريخية في تحليله. ففي مقالته </w:t>
      </w:r>
      <w:proofErr w:type="spellStart"/>
      <w:r w:rsidRPr="00D33073">
        <w:rPr>
          <w:rFonts w:asciiTheme="majorBidi" w:eastAsia="Calibri" w:hAnsiTheme="majorBidi" w:cs="Times New Roman"/>
          <w:i/>
          <w:iCs/>
          <w:sz w:val="24"/>
          <w:szCs w:val="24"/>
          <w:rtl/>
        </w:rPr>
        <w:t>الهرمنيوطيقا</w:t>
      </w:r>
      <w:proofErr w:type="spellEnd"/>
      <w:r w:rsidRPr="00D33073">
        <w:rPr>
          <w:rFonts w:asciiTheme="majorBidi" w:eastAsia="Calibri" w:hAnsiTheme="majorBidi" w:cs="Times New Roman"/>
          <w:i/>
          <w:iCs/>
          <w:sz w:val="24"/>
          <w:szCs w:val="24"/>
          <w:rtl/>
        </w:rPr>
        <w:t xml:space="preserve"> في مقابل التاريخ (</w:t>
      </w:r>
      <w:r w:rsidRPr="00D33073">
        <w:rPr>
          <w:rFonts w:asciiTheme="majorBidi" w:eastAsia="Calibri" w:hAnsiTheme="majorBidi" w:cstheme="majorBidi"/>
          <w:i/>
          <w:iCs/>
          <w:sz w:val="24"/>
          <w:szCs w:val="24"/>
        </w:rPr>
        <w:t>Hermeneutics versus History</w:t>
      </w:r>
      <w:r w:rsidRPr="00D33073">
        <w:rPr>
          <w:rFonts w:asciiTheme="majorBidi" w:eastAsia="Calibri" w:hAnsiTheme="majorBidi" w:cs="Times New Roman"/>
          <w:i/>
          <w:iCs/>
          <w:sz w:val="24"/>
          <w:szCs w:val="24"/>
          <w:rtl/>
        </w:rPr>
        <w:t>)</w:t>
      </w:r>
      <w:r w:rsidRPr="00D33073">
        <w:rPr>
          <w:rFonts w:asciiTheme="majorBidi" w:eastAsia="Calibri" w:hAnsiTheme="majorBidi" w:cs="Times New Roman"/>
          <w:sz w:val="24"/>
          <w:szCs w:val="24"/>
          <w:rtl/>
        </w:rPr>
        <w:t xml:space="preserve"> الصادرة عام 1980، يرى ديفيد </w:t>
      </w:r>
      <w:proofErr w:type="spellStart"/>
      <w:r w:rsidRPr="00D33073">
        <w:rPr>
          <w:rFonts w:asciiTheme="majorBidi" w:eastAsia="Calibri" w:hAnsiTheme="majorBidi" w:cs="Times New Roman"/>
          <w:sz w:val="24"/>
          <w:szCs w:val="24"/>
          <w:rtl/>
        </w:rPr>
        <w:t>كوبف</w:t>
      </w:r>
      <w:proofErr w:type="spellEnd"/>
      <w:r w:rsidRPr="00D33073">
        <w:rPr>
          <w:rFonts w:asciiTheme="majorBidi" w:eastAsia="Calibri" w:hAnsiTheme="majorBidi" w:cs="Times New Roman"/>
          <w:sz w:val="24"/>
          <w:szCs w:val="24"/>
          <w:rtl/>
        </w:rPr>
        <w:t xml:space="preserve"> أنّ عرض سعيد يفتقر إلى الدقّة التاريخية. وعلى وجه الخصوص، يذهب إلى أنّ «سعيد أساء فهم طبيعة الاستشراق البريطاني في الهند؛ فبدلًا من الترويج لرؤية أوروبية مركزية، أسهم الاستشراق البريطاني في أوائل القرن التاسع عشر في تحديث الثقافة الهندوسية، وإعادة بناء الديانة الهندوسية، وظهور وعي قومي هندي» (</w:t>
      </w:r>
      <w:proofErr w:type="spellStart"/>
      <w:r w:rsidRPr="00D33073">
        <w:rPr>
          <w:rFonts w:asciiTheme="majorBidi" w:eastAsia="Calibri" w:hAnsiTheme="majorBidi" w:cs="Times New Roman"/>
          <w:i/>
          <w:iCs/>
          <w:rtl/>
        </w:rPr>
        <w:t>ماكفي</w:t>
      </w:r>
      <w:proofErr w:type="spellEnd"/>
      <w:r w:rsidRPr="00D33073">
        <w:rPr>
          <w:rFonts w:asciiTheme="majorBidi" w:eastAsia="Calibri" w:hAnsiTheme="majorBidi" w:cs="Times New Roman"/>
          <w:i/>
          <w:iCs/>
          <w:rtl/>
        </w:rPr>
        <w:t>، 2000: 194).</w:t>
      </w:r>
    </w:p>
    <w:p w14:paraId="120C4321" w14:textId="77777777" w:rsidR="00AF55A8" w:rsidRDefault="00AF55A8" w:rsidP="00AF55A8">
      <w:pPr>
        <w:jc w:val="both"/>
        <w:rPr>
          <w:rFonts w:asciiTheme="majorBidi" w:eastAsia="Calibri" w:hAnsiTheme="majorBidi" w:cstheme="majorBidi"/>
          <w:sz w:val="24"/>
          <w:szCs w:val="24"/>
          <w:rtl/>
        </w:rPr>
      </w:pPr>
      <w:r w:rsidRPr="00840D53">
        <w:rPr>
          <w:rFonts w:asciiTheme="majorBidi" w:eastAsia="Calibri" w:hAnsiTheme="majorBidi" w:cs="Times New Roman"/>
          <w:sz w:val="24"/>
          <w:szCs w:val="24"/>
          <w:rtl/>
        </w:rPr>
        <w:t>وفي السياق ذاته، يجادل ابن ورّاق بأنّ فهم سعيد للإمبريالية بوصفها ظاهرة سلبية محضة هو فهم مضلِّل ومبسّط. ويكتب أنّ البريطانيين أسهموا في بزوغ نهضة في الهند، وأنهم «أعادوا وحدة الهند وأرسوا النظام من جديد</w:t>
      </w:r>
      <w:r w:rsidRPr="00840D53">
        <w:rPr>
          <w:rFonts w:asciiTheme="majorBidi" w:eastAsia="Calibri" w:hAnsiTheme="majorBidi" w:cs="Times New Roman"/>
          <w:i/>
          <w:iCs/>
          <w:sz w:val="24"/>
          <w:szCs w:val="24"/>
          <w:rtl/>
        </w:rPr>
        <w:t xml:space="preserve">» </w:t>
      </w:r>
      <w:r w:rsidRPr="00840D53">
        <w:rPr>
          <w:rFonts w:asciiTheme="majorBidi" w:eastAsia="Calibri" w:hAnsiTheme="majorBidi" w:cs="Times New Roman"/>
          <w:i/>
          <w:iCs/>
          <w:rtl/>
        </w:rPr>
        <w:t>(ورّاق، 2007: 235).</w:t>
      </w:r>
    </w:p>
    <w:p w14:paraId="7B7801B5" w14:textId="77777777" w:rsidR="00AF55A8" w:rsidRPr="00840D53" w:rsidRDefault="00AF55A8" w:rsidP="00AF55A8">
      <w:pPr>
        <w:rPr>
          <w:rFonts w:asciiTheme="majorBidi" w:eastAsia="Calibri" w:hAnsiTheme="majorBidi" w:cstheme="majorBidi"/>
          <w:sz w:val="24"/>
          <w:szCs w:val="24"/>
          <w:rtl/>
        </w:rPr>
      </w:pPr>
      <w:r w:rsidRPr="00840D53">
        <w:rPr>
          <w:rFonts w:asciiTheme="majorBidi" w:eastAsia="Calibri" w:hAnsiTheme="majorBidi" w:cstheme="majorBidi"/>
          <w:sz w:val="24"/>
          <w:szCs w:val="24"/>
          <w:rtl/>
        </w:rPr>
        <w:t xml:space="preserve">ويولي ورّاق اهتمامًا خاصًا بلورد كرزون، الذي يرى فيه نموذجًا لفهم تقدّمي وتعاطف حقيقي مع الهند، في تناقض حاد مع الصورة التي يرسمها سعيد عن </w:t>
      </w:r>
      <w:proofErr w:type="spellStart"/>
      <w:r w:rsidRPr="00840D53">
        <w:rPr>
          <w:rFonts w:asciiTheme="majorBidi" w:eastAsia="Calibri" w:hAnsiTheme="majorBidi" w:cstheme="majorBidi"/>
          <w:sz w:val="24"/>
          <w:szCs w:val="24"/>
          <w:rtl/>
        </w:rPr>
        <w:t>الإمبرياليين</w:t>
      </w:r>
      <w:proofErr w:type="spellEnd"/>
      <w:r w:rsidRPr="00840D53">
        <w:rPr>
          <w:rFonts w:asciiTheme="majorBidi" w:eastAsia="Calibri" w:hAnsiTheme="majorBidi" w:cstheme="majorBidi"/>
          <w:sz w:val="24"/>
          <w:szCs w:val="24"/>
          <w:rtl/>
        </w:rPr>
        <w:t xml:space="preserve"> والمستشرقين. </w:t>
      </w:r>
      <w:r w:rsidRPr="00840D53">
        <w:rPr>
          <w:rFonts w:asciiTheme="majorBidi" w:eastAsia="Calibri" w:hAnsiTheme="majorBidi" w:cstheme="majorBidi"/>
          <w:sz w:val="24"/>
          <w:szCs w:val="24"/>
        </w:rPr>
        <w:t xml:space="preserve"> </w:t>
      </w:r>
      <w:r w:rsidRPr="00840D53">
        <w:rPr>
          <w:rFonts w:asciiTheme="majorBidi" w:eastAsia="Calibri" w:hAnsiTheme="majorBidi" w:cstheme="majorBidi"/>
          <w:i/>
          <w:iCs/>
        </w:rPr>
        <w:t>(2007: 238–244)</w:t>
      </w:r>
    </w:p>
    <w:p w14:paraId="45E669D9" w14:textId="77777777" w:rsidR="00AF55A8" w:rsidRPr="000D5B05" w:rsidRDefault="00AF55A8" w:rsidP="00AF55A8">
      <w:pPr>
        <w:bidi w:val="0"/>
        <w:jc w:val="right"/>
        <w:rPr>
          <w:rFonts w:ascii="Times New Roman" w:hAnsi="Times New Roman" w:cs="Times New Roman"/>
          <w:i/>
          <w:iCs/>
        </w:rPr>
      </w:pPr>
      <w:r w:rsidRPr="008E34A7">
        <w:rPr>
          <w:rFonts w:ascii="Times New Roman" w:hAnsi="Times New Roman" w:cs="Times New Roman"/>
          <w:sz w:val="24"/>
          <w:szCs w:val="24"/>
          <w:rtl/>
        </w:rPr>
        <w:t xml:space="preserve">كما يشير دانيال مارتن </w:t>
      </w:r>
      <w:proofErr w:type="spellStart"/>
      <w:r w:rsidRPr="008E34A7">
        <w:rPr>
          <w:rFonts w:ascii="Times New Roman" w:hAnsi="Times New Roman" w:cs="Times New Roman"/>
          <w:sz w:val="24"/>
          <w:szCs w:val="24"/>
          <w:rtl/>
        </w:rPr>
        <w:t>فاريسكو</w:t>
      </w:r>
      <w:proofErr w:type="spellEnd"/>
      <w:r w:rsidRPr="008E34A7">
        <w:rPr>
          <w:rFonts w:ascii="Times New Roman" w:hAnsi="Times New Roman" w:cs="Times New Roman"/>
          <w:sz w:val="24"/>
          <w:szCs w:val="24"/>
          <w:rtl/>
        </w:rPr>
        <w:t xml:space="preserve"> إلى أنّ غاندي نفسه استخدم آراء بعض المستشرقين لمقاومة الحكم الاستعماري البريطاني </w:t>
      </w:r>
      <w:r w:rsidRPr="000D5B05">
        <w:rPr>
          <w:rFonts w:ascii="Times New Roman" w:hAnsi="Times New Roman" w:cs="Times New Roman"/>
          <w:i/>
          <w:iCs/>
          <w:rtl/>
        </w:rPr>
        <w:t>(</w:t>
      </w:r>
      <w:proofErr w:type="spellStart"/>
      <w:r w:rsidRPr="000D5B05">
        <w:rPr>
          <w:rFonts w:ascii="Times New Roman" w:hAnsi="Times New Roman" w:cs="Times New Roman"/>
          <w:i/>
          <w:iCs/>
          <w:rtl/>
        </w:rPr>
        <w:t>فاريسكو</w:t>
      </w:r>
      <w:proofErr w:type="spellEnd"/>
      <w:r w:rsidRPr="000D5B05">
        <w:rPr>
          <w:rFonts w:ascii="Times New Roman" w:hAnsi="Times New Roman" w:cs="Times New Roman"/>
          <w:i/>
          <w:iCs/>
          <w:rtl/>
        </w:rPr>
        <w:t xml:space="preserve">، ص 152). </w:t>
      </w:r>
    </w:p>
    <w:p w14:paraId="337795A8" w14:textId="77777777" w:rsidR="00AF55A8" w:rsidRPr="00AD2C64" w:rsidRDefault="00AF55A8" w:rsidP="00AF55A8">
      <w:pPr>
        <w:bidi w:val="0"/>
        <w:spacing w:after="0" w:line="240" w:lineRule="auto"/>
        <w:jc w:val="right"/>
        <w:rPr>
          <w:rFonts w:asciiTheme="majorBidi" w:hAnsiTheme="majorBidi" w:cstheme="majorBidi"/>
          <w:sz w:val="24"/>
          <w:szCs w:val="24"/>
        </w:rPr>
      </w:pPr>
      <w:r w:rsidRPr="000D5B05">
        <w:rPr>
          <w:rFonts w:asciiTheme="majorBidi" w:hAnsiTheme="majorBidi" w:cstheme="majorBidi"/>
          <w:i/>
          <w:iCs/>
          <w:sz w:val="24"/>
          <w:szCs w:val="24"/>
        </w:rPr>
        <w:t xml:space="preserve">  (Orientalism and Orientalism in Reverse)</w:t>
      </w:r>
      <w:r w:rsidRPr="00AD2C64">
        <w:rPr>
          <w:rFonts w:asciiTheme="majorBidi" w:hAnsiTheme="majorBidi" w:cstheme="majorBidi"/>
          <w:sz w:val="24"/>
          <w:szCs w:val="24"/>
        </w:rPr>
        <w:t xml:space="preserve"> </w:t>
      </w:r>
      <w:r w:rsidRPr="00AD2C64">
        <w:rPr>
          <w:rFonts w:asciiTheme="majorBidi" w:hAnsiTheme="majorBidi" w:cstheme="majorBidi"/>
          <w:sz w:val="24"/>
          <w:szCs w:val="24"/>
          <w:rtl/>
        </w:rPr>
        <w:t xml:space="preserve">أمّا صادق جلال العظم، ففي مقالته </w:t>
      </w:r>
      <w:r w:rsidRPr="000D5B05">
        <w:rPr>
          <w:rFonts w:asciiTheme="majorBidi" w:hAnsiTheme="majorBidi" w:cstheme="majorBidi"/>
          <w:i/>
          <w:iCs/>
          <w:sz w:val="24"/>
          <w:szCs w:val="24"/>
          <w:rtl/>
        </w:rPr>
        <w:t>لاستشراق والاستشراق المعكوس</w:t>
      </w:r>
      <w:r w:rsidRPr="00AD2C64">
        <w:rPr>
          <w:rFonts w:asciiTheme="majorBidi" w:hAnsiTheme="majorBidi" w:cstheme="majorBidi"/>
          <w:sz w:val="24"/>
          <w:szCs w:val="24"/>
          <w:rtl/>
        </w:rPr>
        <w:t xml:space="preserve"> </w:t>
      </w:r>
    </w:p>
    <w:p w14:paraId="0DB5101F" w14:textId="77777777" w:rsidR="00AF55A8" w:rsidRDefault="00AF55A8" w:rsidP="00AF55A8">
      <w:pPr>
        <w:spacing w:after="0"/>
        <w:rPr>
          <w:rFonts w:asciiTheme="majorBidi" w:eastAsia="Calibri" w:hAnsiTheme="majorBidi" w:cstheme="majorBidi"/>
          <w:sz w:val="24"/>
          <w:szCs w:val="24"/>
          <w:rtl/>
        </w:rPr>
      </w:pPr>
      <w:r w:rsidRPr="00FF14F1">
        <w:rPr>
          <w:rFonts w:asciiTheme="majorBidi" w:eastAsia="Calibri" w:hAnsiTheme="majorBidi" w:cstheme="majorBidi"/>
          <w:sz w:val="24"/>
          <w:szCs w:val="24"/>
          <w:rtl/>
        </w:rPr>
        <w:t xml:space="preserve">فيصف الاستشراق بأنه كتاب سياسي، ويتّهم سعيد بارتكاب ما كان يتّهم الغرب به، أي تجوهر الآخر </w:t>
      </w:r>
      <w:r w:rsidRPr="00FF14F1">
        <w:rPr>
          <w:rFonts w:asciiTheme="majorBidi" w:eastAsia="Calibri" w:hAnsiTheme="majorBidi" w:cstheme="majorBidi"/>
          <w:i/>
          <w:iCs/>
          <w:rtl/>
        </w:rPr>
        <w:t>(</w:t>
      </w:r>
      <w:r w:rsidRPr="00FF14F1">
        <w:rPr>
          <w:rFonts w:asciiTheme="majorBidi" w:eastAsia="Calibri" w:hAnsiTheme="majorBidi" w:cstheme="majorBidi"/>
          <w:i/>
          <w:iCs/>
        </w:rPr>
        <w:t>(Macfie, 2000, 217</w:t>
      </w:r>
      <w:r w:rsidRPr="00FF14F1">
        <w:rPr>
          <w:rFonts w:asciiTheme="majorBidi" w:eastAsia="Calibri" w:hAnsiTheme="majorBidi" w:cstheme="majorBidi" w:hint="cs"/>
          <w:sz w:val="24"/>
          <w:szCs w:val="24"/>
          <w:rtl/>
        </w:rPr>
        <w:t>.</w:t>
      </w:r>
    </w:p>
    <w:p w14:paraId="763830AD" w14:textId="77777777" w:rsidR="00AF55A8" w:rsidRDefault="00AF55A8" w:rsidP="00AF55A8">
      <w:pPr>
        <w:spacing w:before="240"/>
        <w:jc w:val="both"/>
        <w:rPr>
          <w:rFonts w:asciiTheme="majorBidi" w:hAnsiTheme="majorBidi" w:cstheme="majorBidi"/>
          <w:sz w:val="24"/>
          <w:szCs w:val="24"/>
          <w:rtl/>
        </w:rPr>
      </w:pPr>
      <w:r w:rsidRPr="003B1E5E">
        <w:rPr>
          <w:rFonts w:asciiTheme="majorBidi" w:hAnsiTheme="majorBidi" w:cstheme="majorBidi"/>
          <w:sz w:val="24"/>
          <w:szCs w:val="24"/>
          <w:rtl/>
        </w:rPr>
        <w:t xml:space="preserve">ويرى العظم أنّ </w:t>
      </w:r>
      <w:r w:rsidRPr="00FF14F1">
        <w:rPr>
          <w:rFonts w:asciiTheme="majorBidi" w:hAnsiTheme="majorBidi" w:cstheme="majorBidi"/>
          <w:sz w:val="24"/>
          <w:szCs w:val="24"/>
          <w:rtl/>
        </w:rPr>
        <w:t>«الآخر»</w:t>
      </w:r>
      <w:r w:rsidRPr="003B1E5E">
        <w:rPr>
          <w:rFonts w:asciiTheme="majorBidi" w:hAnsiTheme="majorBidi" w:cstheme="majorBidi"/>
          <w:sz w:val="24"/>
          <w:szCs w:val="24"/>
          <w:rtl/>
        </w:rPr>
        <w:t xml:space="preserve"> هو هوية حقيقية وموضوعية قائمة لجماعة في صراع مع الغرب، ولا يمكن فهمها إلا بافتراض هوية غربية سابقة أنتجت هذا الخطاب. وهذا ما يرفضه سعيد رفضًا قاطعًا؛ إذ يؤكّد أنّ الشرق ليس كيانًا ثابتًا قائمًا بذاته، وكذلك الغرب أو </w:t>
      </w:r>
      <w:r w:rsidRPr="00FF14F1">
        <w:rPr>
          <w:rFonts w:asciiTheme="majorBidi" w:hAnsiTheme="majorBidi" w:cstheme="majorBidi"/>
          <w:sz w:val="24"/>
          <w:szCs w:val="24"/>
          <w:rtl/>
        </w:rPr>
        <w:t>«</w:t>
      </w:r>
      <w:proofErr w:type="spellStart"/>
      <w:r w:rsidRPr="00FF14F1">
        <w:rPr>
          <w:rFonts w:asciiTheme="majorBidi" w:hAnsiTheme="majorBidi" w:cstheme="majorBidi"/>
          <w:sz w:val="24"/>
          <w:szCs w:val="24"/>
          <w:rtl/>
        </w:rPr>
        <w:t>الأوكْسيدِنت</w:t>
      </w:r>
      <w:proofErr w:type="spellEnd"/>
      <w:r w:rsidRPr="00FF14F1">
        <w:rPr>
          <w:rFonts w:asciiTheme="majorBidi" w:hAnsiTheme="majorBidi" w:cstheme="majorBidi"/>
          <w:sz w:val="24"/>
          <w:szCs w:val="24"/>
          <w:rtl/>
        </w:rPr>
        <w:t>»،</w:t>
      </w:r>
      <w:r w:rsidRPr="003B1E5E">
        <w:rPr>
          <w:rFonts w:asciiTheme="majorBidi" w:hAnsiTheme="majorBidi" w:cstheme="majorBidi"/>
          <w:sz w:val="24"/>
          <w:szCs w:val="24"/>
          <w:rtl/>
        </w:rPr>
        <w:t xml:space="preserve"> فكلاهما مُنش</w:t>
      </w:r>
      <w:r>
        <w:rPr>
          <w:rFonts w:asciiTheme="majorBidi" w:hAnsiTheme="majorBidi" w:cstheme="majorBidi" w:hint="cs"/>
          <w:sz w:val="24"/>
          <w:szCs w:val="24"/>
          <w:rtl/>
        </w:rPr>
        <w:t>ئا</w:t>
      </w:r>
      <w:r w:rsidRPr="003B1E5E">
        <w:rPr>
          <w:rFonts w:asciiTheme="majorBidi" w:hAnsiTheme="majorBidi" w:cstheme="majorBidi"/>
          <w:sz w:val="24"/>
          <w:szCs w:val="24"/>
          <w:rtl/>
        </w:rPr>
        <w:t>ن عبر التقسيم الثنائي الذي يشكّل عنصرًا أساسيًا في تصوّر الغرب لهويته.</w:t>
      </w:r>
    </w:p>
    <w:p w14:paraId="64B05E9F" w14:textId="77777777" w:rsidR="00AF55A8" w:rsidRDefault="00AF55A8" w:rsidP="00AF55A8">
      <w:pPr>
        <w:bidi w:val="0"/>
        <w:jc w:val="right"/>
        <w:rPr>
          <w:rFonts w:asciiTheme="majorBidi" w:hAnsiTheme="majorBidi" w:cstheme="majorBidi"/>
          <w:b/>
          <w:bCs/>
          <w:sz w:val="24"/>
          <w:szCs w:val="24"/>
          <w:rtl/>
        </w:rPr>
      </w:pPr>
      <w:r w:rsidRPr="003B1E5E">
        <w:rPr>
          <w:rFonts w:asciiTheme="majorBidi" w:hAnsiTheme="majorBidi" w:cstheme="majorBidi"/>
          <w:sz w:val="24"/>
          <w:szCs w:val="24"/>
          <w:rtl/>
        </w:rPr>
        <w:t>ومع ذلك، يتّضح من الفقرة الأولى من طرح العظم أنّه يتعامل مع الاستشراق بوصفه أداة سياسية لتسمية جماعتين متصارعتين، حين يربطه مباشرة بالاستعمار الأوروبي</w:t>
      </w:r>
      <w:r w:rsidRPr="00FF14F1">
        <w:rPr>
          <w:rFonts w:asciiTheme="majorBidi" w:hAnsiTheme="majorBidi" w:cstheme="majorBidi"/>
          <w:b/>
          <w:bCs/>
          <w:sz w:val="24"/>
          <w:szCs w:val="24"/>
          <w:rtl/>
        </w:rPr>
        <w:t xml:space="preserve">. </w:t>
      </w:r>
      <w:r w:rsidRPr="00FF14F1">
        <w:rPr>
          <w:rFonts w:asciiTheme="majorBidi" w:hAnsiTheme="majorBidi" w:cstheme="majorBidi"/>
          <w:sz w:val="24"/>
          <w:szCs w:val="24"/>
          <w:rtl/>
        </w:rPr>
        <w:t>يقول العظم:</w:t>
      </w:r>
    </w:p>
    <w:p w14:paraId="5D2AEAAD" w14:textId="77777777" w:rsidR="00AF55A8" w:rsidRDefault="00AF55A8" w:rsidP="00AF55A8">
      <w:pPr>
        <w:jc w:val="both"/>
        <w:rPr>
          <w:rFonts w:asciiTheme="majorBidi" w:hAnsiTheme="majorBidi" w:cstheme="majorBidi"/>
          <w:b/>
          <w:bCs/>
          <w:sz w:val="24"/>
          <w:szCs w:val="24"/>
          <w:rtl/>
        </w:rPr>
      </w:pPr>
      <w:bookmarkStart w:id="0" w:name="_Hlk218155296"/>
      <w:r w:rsidRPr="003B1E5E">
        <w:rPr>
          <w:rFonts w:asciiTheme="majorBidi" w:hAnsiTheme="majorBidi" w:cstheme="majorBidi"/>
          <w:b/>
          <w:bCs/>
          <w:sz w:val="24"/>
          <w:szCs w:val="24"/>
          <w:rtl/>
        </w:rPr>
        <w:t>«</w:t>
      </w:r>
      <w:bookmarkEnd w:id="0"/>
      <w:r w:rsidRPr="003B1E5E">
        <w:rPr>
          <w:rFonts w:asciiTheme="majorBidi" w:hAnsiTheme="majorBidi" w:cstheme="majorBidi"/>
          <w:b/>
          <w:bCs/>
          <w:sz w:val="24"/>
          <w:szCs w:val="24"/>
          <w:rtl/>
        </w:rPr>
        <w:t xml:space="preserve">في كتابه المثير للجدل، يقدّم لنا إدوارد سعيد موضوع </w:t>
      </w:r>
      <w:r w:rsidRPr="003B1E5E">
        <w:rPr>
          <w:rFonts w:asciiTheme="majorBidi" w:hAnsiTheme="majorBidi" w:cstheme="majorBidi"/>
          <w:b/>
          <w:bCs/>
          <w:i/>
          <w:iCs/>
          <w:sz w:val="24"/>
          <w:szCs w:val="24"/>
          <w:rtl/>
        </w:rPr>
        <w:t>“الاستشراق”</w:t>
      </w:r>
      <w:r w:rsidRPr="003B1E5E">
        <w:rPr>
          <w:rFonts w:asciiTheme="majorBidi" w:hAnsiTheme="majorBidi" w:cstheme="majorBidi"/>
          <w:b/>
          <w:bCs/>
          <w:sz w:val="24"/>
          <w:szCs w:val="24"/>
          <w:rtl/>
        </w:rPr>
        <w:t xml:space="preserve"> من خلال منظور تاريخي واسع، يضع اهتمام أوروبا بالشرق ضمن سياق التوسّع التاريخي العام لأوروبا البرجوازية الحديثة خارج حدودها التقليدية، وعلى حساب بقية العالم، في صورة إخضاع ونهب واستغلال</w:t>
      </w:r>
      <w:bookmarkStart w:id="1" w:name="_Hlk218155309"/>
      <w:r w:rsidRPr="003B1E5E">
        <w:rPr>
          <w:rFonts w:asciiTheme="majorBidi" w:hAnsiTheme="majorBidi" w:cstheme="majorBidi"/>
          <w:b/>
          <w:bCs/>
          <w:sz w:val="24"/>
          <w:szCs w:val="24"/>
          <w:rtl/>
        </w:rPr>
        <w:t>»</w:t>
      </w:r>
      <w:bookmarkEnd w:id="1"/>
      <w:r w:rsidRPr="003B1E5E">
        <w:rPr>
          <w:rFonts w:asciiTheme="majorBidi" w:hAnsiTheme="majorBidi" w:cstheme="majorBidi"/>
          <w:b/>
          <w:bCs/>
          <w:sz w:val="24"/>
          <w:szCs w:val="24"/>
          <w:rtl/>
        </w:rPr>
        <w:t xml:space="preserve"> </w:t>
      </w:r>
      <w:r w:rsidRPr="00FF14F1">
        <w:rPr>
          <w:rFonts w:asciiTheme="majorBidi" w:hAnsiTheme="majorBidi" w:cstheme="majorBidi"/>
          <w:i/>
          <w:iCs/>
          <w:rtl/>
        </w:rPr>
        <w:t>(العظم، 2000: 217).</w:t>
      </w:r>
    </w:p>
    <w:p w14:paraId="5279E4C9" w14:textId="77777777" w:rsidR="00AF55A8" w:rsidRPr="005144B5" w:rsidRDefault="00AF55A8" w:rsidP="00AF55A8">
      <w:pPr>
        <w:jc w:val="both"/>
        <w:rPr>
          <w:rFonts w:asciiTheme="majorBidi" w:hAnsiTheme="majorBidi" w:cstheme="majorBidi"/>
          <w:i/>
          <w:iCs/>
          <w:rtl/>
        </w:rPr>
      </w:pPr>
      <w:r w:rsidRPr="0065105E">
        <w:rPr>
          <w:rFonts w:asciiTheme="majorBidi" w:hAnsiTheme="majorBidi" w:cstheme="majorBidi"/>
          <w:sz w:val="24"/>
          <w:szCs w:val="24"/>
          <w:rtl/>
        </w:rPr>
        <w:t xml:space="preserve">ويشير العظم كذلك إلى ميل بعض العرب إلى ما سمّاه </w:t>
      </w:r>
      <w:r w:rsidRPr="005144B5">
        <w:rPr>
          <w:rFonts w:asciiTheme="majorBidi" w:hAnsiTheme="majorBidi" w:cs="Times New Roman"/>
          <w:sz w:val="24"/>
          <w:szCs w:val="24"/>
          <w:rtl/>
        </w:rPr>
        <w:t>«</w:t>
      </w:r>
      <w:r w:rsidRPr="005144B5">
        <w:rPr>
          <w:rFonts w:asciiTheme="majorBidi" w:hAnsiTheme="majorBidi" w:cstheme="majorBidi"/>
          <w:sz w:val="24"/>
          <w:szCs w:val="24"/>
          <w:rtl/>
        </w:rPr>
        <w:t>الاستشراق المعكوس</w:t>
      </w:r>
      <w:r w:rsidRPr="005144B5">
        <w:rPr>
          <w:rFonts w:asciiTheme="majorBidi" w:hAnsiTheme="majorBidi" w:cs="Times New Roman"/>
          <w:sz w:val="24"/>
          <w:szCs w:val="24"/>
          <w:rtl/>
        </w:rPr>
        <w:t>»</w:t>
      </w:r>
      <w:r w:rsidRPr="005144B5">
        <w:rPr>
          <w:rFonts w:asciiTheme="majorBidi" w:hAnsiTheme="majorBidi" w:cs="Times New Roman" w:hint="cs"/>
          <w:sz w:val="24"/>
          <w:szCs w:val="24"/>
          <w:rtl/>
        </w:rPr>
        <w:t>،</w:t>
      </w:r>
      <w:r w:rsidRPr="0065105E">
        <w:rPr>
          <w:rFonts w:asciiTheme="majorBidi" w:hAnsiTheme="majorBidi" w:cstheme="majorBidi" w:hint="cs"/>
          <w:b/>
          <w:bCs/>
          <w:sz w:val="24"/>
          <w:szCs w:val="24"/>
          <w:rtl/>
        </w:rPr>
        <w:t xml:space="preserve"> </w:t>
      </w:r>
      <w:r w:rsidRPr="0065105E">
        <w:rPr>
          <w:rFonts w:asciiTheme="majorBidi" w:hAnsiTheme="majorBidi" w:cstheme="majorBidi"/>
          <w:sz w:val="24"/>
          <w:szCs w:val="24"/>
          <w:rtl/>
        </w:rPr>
        <w:t>وهو ما يُعرف أيضًا بـ</w:t>
      </w:r>
      <w:r w:rsidRPr="005144B5">
        <w:rPr>
          <w:rFonts w:asciiTheme="majorBidi" w:hAnsiTheme="majorBidi" w:cstheme="majorBidi"/>
          <w:sz w:val="24"/>
          <w:szCs w:val="24"/>
          <w:rtl/>
        </w:rPr>
        <w:t>«الاستغراب»</w:t>
      </w:r>
      <w:r w:rsidRPr="005144B5">
        <w:rPr>
          <w:rFonts w:asciiTheme="majorBidi" w:hAnsiTheme="majorBidi" w:cstheme="majorBidi" w:hint="cs"/>
          <w:sz w:val="24"/>
          <w:szCs w:val="24"/>
          <w:rtl/>
        </w:rPr>
        <w:t xml:space="preserve">، </w:t>
      </w:r>
      <w:r w:rsidRPr="0065105E">
        <w:rPr>
          <w:rFonts w:asciiTheme="majorBidi" w:hAnsiTheme="majorBidi" w:cstheme="majorBidi"/>
          <w:sz w:val="24"/>
          <w:szCs w:val="24"/>
          <w:rtl/>
        </w:rPr>
        <w:t xml:space="preserve">أي إعادة إنتاج التفكير الثنائي نفسه، ولكن مع إعطاء الأفضلية للشرق على حساب الغرب </w:t>
      </w:r>
      <w:r w:rsidRPr="005144B5">
        <w:rPr>
          <w:rFonts w:asciiTheme="majorBidi" w:hAnsiTheme="majorBidi" w:cstheme="majorBidi"/>
          <w:i/>
          <w:iCs/>
          <w:rtl/>
        </w:rPr>
        <w:t>(العظم، ص 231).</w:t>
      </w:r>
    </w:p>
    <w:p w14:paraId="294AC91D" w14:textId="77777777" w:rsidR="00AF55A8" w:rsidRDefault="00AF55A8" w:rsidP="00AF55A8">
      <w:pPr>
        <w:jc w:val="both"/>
        <w:rPr>
          <w:rFonts w:asciiTheme="majorBidi" w:hAnsiTheme="majorBidi" w:cstheme="majorBidi"/>
          <w:sz w:val="24"/>
          <w:szCs w:val="24"/>
          <w:rtl/>
        </w:rPr>
      </w:pPr>
      <w:r w:rsidRPr="00D048A8">
        <w:rPr>
          <w:rFonts w:asciiTheme="majorBidi" w:hAnsiTheme="majorBidi" w:cstheme="majorBidi"/>
          <w:sz w:val="24"/>
          <w:szCs w:val="24"/>
          <w:rtl/>
        </w:rPr>
        <w:t>ويضرب مثالًا بمفكّر سياسي سوري بارز (لم يسمّه)، توصّل إلى موقف استشراقي معكوس يرى الشرق متفوّقًا أخلاقيًا على غرب مُجوهر، وذلك عبر مقارنة تحليل لغوي عربي لمفهوم «الإنسان» باقتباس واحد من هوبز.</w:t>
      </w:r>
    </w:p>
    <w:p w14:paraId="35122C10" w14:textId="77777777" w:rsidR="00AF55A8" w:rsidRDefault="00AF55A8" w:rsidP="00AF55A8">
      <w:pPr>
        <w:jc w:val="both"/>
        <w:rPr>
          <w:rFonts w:asciiTheme="majorBidi" w:hAnsiTheme="majorBidi" w:cstheme="majorBidi"/>
          <w:sz w:val="24"/>
          <w:szCs w:val="24"/>
          <w:rtl/>
        </w:rPr>
      </w:pPr>
      <w:r w:rsidRPr="00C80A17">
        <w:rPr>
          <w:rFonts w:asciiTheme="majorBidi" w:hAnsiTheme="majorBidi" w:cs="Times New Roman"/>
          <w:sz w:val="24"/>
          <w:szCs w:val="24"/>
          <w:rtl/>
        </w:rPr>
        <w:t>إن افتراض العظم أن</w:t>
      </w:r>
      <w:r>
        <w:rPr>
          <w:rFonts w:asciiTheme="majorBidi" w:hAnsiTheme="majorBidi" w:cs="Times New Roman" w:hint="cs"/>
          <w:sz w:val="24"/>
          <w:szCs w:val="24"/>
          <w:rtl/>
        </w:rPr>
        <w:t>ّ</w:t>
      </w:r>
      <w:r w:rsidRPr="00C80A17">
        <w:rPr>
          <w:rFonts w:asciiTheme="majorBidi" w:hAnsiTheme="majorBidi" w:cs="Times New Roman"/>
          <w:sz w:val="24"/>
          <w:szCs w:val="24"/>
          <w:rtl/>
        </w:rPr>
        <w:t xml:space="preserve"> </w:t>
      </w:r>
      <w:r w:rsidRPr="00F748D2">
        <w:rPr>
          <w:rFonts w:asciiTheme="majorBidi" w:hAnsiTheme="majorBidi" w:cs="Times New Roman"/>
          <w:sz w:val="24"/>
          <w:szCs w:val="24"/>
          <w:rtl/>
        </w:rPr>
        <w:t>«الاستشراق المعكوس»</w:t>
      </w:r>
      <w:r w:rsidRPr="00C80A17">
        <w:rPr>
          <w:rFonts w:asciiTheme="majorBidi" w:hAnsiTheme="majorBidi" w:cs="Times New Roman"/>
          <w:sz w:val="24"/>
          <w:szCs w:val="24"/>
          <w:rtl/>
        </w:rPr>
        <w:t xml:space="preserve"> شيء مختلف كليًا عن الاستشراق، بل مناقض له، يدل على أنه يتعامل مع الاستشراق بوصفه خطابًا يقوم على هويات سابقة، ثابتة، ومتناقضة بطبيعتها. وهذا ما يصفه سعيد بـ</w:t>
      </w:r>
      <w:r w:rsidRPr="005144B5">
        <w:rPr>
          <w:rFonts w:asciiTheme="majorBidi" w:hAnsiTheme="majorBidi" w:cs="Times New Roman"/>
          <w:sz w:val="24"/>
          <w:szCs w:val="24"/>
          <w:rtl/>
        </w:rPr>
        <w:t>«أسلوب التفكير»</w:t>
      </w:r>
      <w:r w:rsidRPr="00C80A17">
        <w:rPr>
          <w:rFonts w:asciiTheme="majorBidi" w:hAnsiTheme="majorBidi" w:cs="Times New Roman"/>
          <w:sz w:val="24"/>
          <w:szCs w:val="24"/>
          <w:rtl/>
        </w:rPr>
        <w:t xml:space="preserve"> في تعريفه الثاني للاستشراق. ففي هذا الإطار، يقوم كل طرف ب</w:t>
      </w:r>
      <w:r>
        <w:rPr>
          <w:rFonts w:asciiTheme="majorBidi" w:hAnsiTheme="majorBidi" w:cs="Times New Roman" w:hint="cs"/>
          <w:sz w:val="24"/>
          <w:szCs w:val="24"/>
          <w:rtl/>
        </w:rPr>
        <w:t>جوهرة</w:t>
      </w:r>
      <w:r w:rsidRPr="00C80A17">
        <w:rPr>
          <w:rFonts w:asciiTheme="majorBidi" w:hAnsiTheme="majorBidi" w:cs="Times New Roman"/>
          <w:sz w:val="24"/>
          <w:szCs w:val="24"/>
          <w:rtl/>
        </w:rPr>
        <w:t xml:space="preserve"> الآخر، و</w:t>
      </w:r>
      <w:r>
        <w:rPr>
          <w:rFonts w:asciiTheme="majorBidi" w:hAnsiTheme="majorBidi" w:cs="Times New Roman" w:hint="cs"/>
          <w:sz w:val="24"/>
          <w:szCs w:val="24"/>
          <w:rtl/>
        </w:rPr>
        <w:t>تُ</w:t>
      </w:r>
      <w:r w:rsidRPr="00C80A17">
        <w:rPr>
          <w:rFonts w:asciiTheme="majorBidi" w:hAnsiTheme="majorBidi" w:cs="Times New Roman"/>
          <w:sz w:val="24"/>
          <w:szCs w:val="24"/>
          <w:rtl/>
        </w:rPr>
        <w:t>عاد إنتاج الثنائية ذاتها.</w:t>
      </w:r>
    </w:p>
    <w:p w14:paraId="15312314" w14:textId="77777777" w:rsidR="00AF55A8" w:rsidRDefault="00AF55A8" w:rsidP="00AF55A8">
      <w:pPr>
        <w:rPr>
          <w:rFonts w:asciiTheme="majorBidi" w:hAnsiTheme="majorBidi" w:cstheme="majorBidi"/>
          <w:sz w:val="24"/>
          <w:szCs w:val="24"/>
          <w:rtl/>
        </w:rPr>
      </w:pPr>
      <w:r w:rsidRPr="00F748D2">
        <w:rPr>
          <w:rFonts w:asciiTheme="majorBidi" w:hAnsiTheme="majorBidi" w:cstheme="majorBidi"/>
          <w:sz w:val="24"/>
          <w:szCs w:val="24"/>
          <w:rtl/>
        </w:rPr>
        <w:t xml:space="preserve">ويرى إيمانويل سيفان أنّ العظم وناظم البيطار يُعدّان من أبرز النقّاد العرب لسعيد. ويلخّص </w:t>
      </w:r>
      <w:proofErr w:type="spellStart"/>
      <w:r w:rsidRPr="00F748D2">
        <w:rPr>
          <w:rFonts w:asciiTheme="majorBidi" w:hAnsiTheme="majorBidi" w:cstheme="majorBidi"/>
          <w:sz w:val="24"/>
          <w:szCs w:val="24"/>
          <w:rtl/>
        </w:rPr>
        <w:t>ماكفي</w:t>
      </w:r>
      <w:proofErr w:type="spellEnd"/>
      <w:r w:rsidRPr="00F748D2">
        <w:rPr>
          <w:rFonts w:asciiTheme="majorBidi" w:hAnsiTheme="majorBidi" w:cstheme="majorBidi"/>
          <w:sz w:val="24"/>
          <w:szCs w:val="24"/>
          <w:rtl/>
        </w:rPr>
        <w:t xml:space="preserve"> آراءهما على النحو الآتي:</w:t>
      </w:r>
    </w:p>
    <w:p w14:paraId="191B71C3" w14:textId="77777777" w:rsidR="00AF55A8" w:rsidRPr="005144B5" w:rsidRDefault="00AF55A8" w:rsidP="00AF55A8">
      <w:pPr>
        <w:jc w:val="both"/>
        <w:rPr>
          <w:rFonts w:asciiTheme="majorBidi" w:hAnsiTheme="majorBidi" w:cstheme="majorBidi"/>
          <w:i/>
          <w:iCs/>
          <w:rtl/>
        </w:rPr>
      </w:pPr>
      <w:r w:rsidRPr="00B12C32">
        <w:rPr>
          <w:rFonts w:asciiTheme="majorBidi" w:hAnsiTheme="majorBidi" w:cstheme="majorBidi"/>
          <w:b/>
          <w:bCs/>
          <w:sz w:val="24"/>
          <w:szCs w:val="24"/>
          <w:rtl/>
        </w:rPr>
        <w:t>«تساءل البيطار عن الكيفية التي تمكّن بها سعيد، في بضع سنوات، من قراءة ما يقرب من ستين ألف كتاب عن الشرق العربي نُشرت بين عامي 1800 و1950. في حين تساءل العظم عن سبب عدم اقتصار دراسة سعيد للاستشراق على العصر الحديث. ويتّفق الاثنان على أنّ دراسة سعيد للاستشراق غير تاريخية وغير علمية، لأنها لا تقوم على فحص دقيق للأدلّة</w:t>
      </w:r>
      <w:r w:rsidRPr="00B12C32">
        <w:rPr>
          <w:rFonts w:asciiTheme="majorBidi" w:hAnsiTheme="majorBidi" w:cstheme="majorBidi" w:hint="cs"/>
          <w:b/>
          <w:bCs/>
          <w:sz w:val="24"/>
          <w:szCs w:val="24"/>
          <w:rtl/>
        </w:rPr>
        <w:t>.</w:t>
      </w:r>
      <w:r w:rsidRPr="00B12C32">
        <w:rPr>
          <w:rFonts w:asciiTheme="majorBidi" w:hAnsiTheme="majorBidi" w:cstheme="majorBidi"/>
          <w:b/>
          <w:bCs/>
          <w:sz w:val="24"/>
          <w:szCs w:val="24"/>
          <w:rtl/>
        </w:rPr>
        <w:t>»</w:t>
      </w:r>
      <w:r>
        <w:rPr>
          <w:rFonts w:asciiTheme="majorBidi" w:hAnsiTheme="majorBidi" w:cstheme="majorBidi" w:hint="cs"/>
          <w:sz w:val="24"/>
          <w:szCs w:val="24"/>
          <w:rtl/>
        </w:rPr>
        <w:t xml:space="preserve"> </w:t>
      </w:r>
      <w:r w:rsidRPr="005144B5">
        <w:rPr>
          <w:rFonts w:asciiTheme="majorBidi" w:hAnsiTheme="majorBidi" w:cs="Times New Roman"/>
          <w:i/>
          <w:iCs/>
          <w:rtl/>
        </w:rPr>
        <w:t>(</w:t>
      </w:r>
      <w:r w:rsidRPr="005144B5">
        <w:rPr>
          <w:rFonts w:asciiTheme="majorBidi" w:hAnsiTheme="majorBidi" w:cstheme="majorBidi"/>
          <w:i/>
          <w:iCs/>
        </w:rPr>
        <w:t>Macfie, 2000: 128</w:t>
      </w:r>
      <w:r w:rsidRPr="005144B5">
        <w:rPr>
          <w:rFonts w:asciiTheme="majorBidi" w:hAnsiTheme="majorBidi" w:cs="Times New Roman"/>
          <w:i/>
          <w:iCs/>
          <w:rtl/>
        </w:rPr>
        <w:t>)</w:t>
      </w:r>
    </w:p>
    <w:p w14:paraId="4CE801DB" w14:textId="77777777" w:rsidR="00AF55A8" w:rsidRDefault="00AF55A8" w:rsidP="00AF55A8">
      <w:pPr>
        <w:jc w:val="both"/>
        <w:rPr>
          <w:rFonts w:asciiTheme="majorBidi" w:hAnsiTheme="majorBidi" w:cstheme="majorBidi"/>
          <w:sz w:val="24"/>
          <w:szCs w:val="24"/>
          <w:lang w:bidi="fa-IR"/>
        </w:rPr>
      </w:pPr>
      <w:r w:rsidRPr="00F56A6C">
        <w:rPr>
          <w:rFonts w:asciiTheme="majorBidi" w:hAnsiTheme="majorBidi" w:cstheme="majorBidi"/>
          <w:sz w:val="24"/>
          <w:szCs w:val="24"/>
          <w:rtl/>
        </w:rPr>
        <w:t>ويعكس هذا التركيز تصو</w:t>
      </w:r>
      <w:r>
        <w:rPr>
          <w:rFonts w:asciiTheme="majorBidi" w:hAnsiTheme="majorBidi" w:cstheme="majorBidi" w:hint="cs"/>
          <w:sz w:val="24"/>
          <w:szCs w:val="24"/>
          <w:rtl/>
        </w:rPr>
        <w:t>ُ</w:t>
      </w:r>
      <w:r w:rsidRPr="00F56A6C">
        <w:rPr>
          <w:rFonts w:asciiTheme="majorBidi" w:hAnsiTheme="majorBidi" w:cstheme="majorBidi"/>
          <w:sz w:val="24"/>
          <w:szCs w:val="24"/>
          <w:rtl/>
        </w:rPr>
        <w:t>ّر هؤلاء الباحثين للاستشراق بوصفه دراسة تاريخية لشرق موضوعي قائم، ومحاولة سعيد تمثيله، مع إصرارهم على نمط معيّن من المعرفة، ولا سيما المعرفة المكتوبة في الغرب، إذ تتمثّل «الأدلّة» المطلوبة لديهم في الكتب والسرديات التاريخية المكتوبة</w:t>
      </w:r>
      <w:r w:rsidRPr="00F56A6C">
        <w:rPr>
          <w:rFonts w:asciiTheme="majorBidi" w:hAnsiTheme="majorBidi" w:cstheme="majorBidi"/>
          <w:sz w:val="24"/>
          <w:szCs w:val="24"/>
          <w:rtl/>
          <w:lang w:bidi="fa-IR"/>
        </w:rPr>
        <w:t>.</w:t>
      </w:r>
    </w:p>
    <w:p w14:paraId="7062BE32" w14:textId="533B195F" w:rsidR="00AF55A8" w:rsidRDefault="00AF55A8" w:rsidP="00AF55A8">
      <w:pPr>
        <w:rPr>
          <w:rFonts w:asciiTheme="majorBidi" w:eastAsia="Calibri" w:hAnsiTheme="majorBidi" w:cstheme="majorBidi"/>
          <w:sz w:val="24"/>
          <w:szCs w:val="24"/>
          <w:rtl/>
        </w:rPr>
      </w:pPr>
    </w:p>
    <w:p w14:paraId="68476B06" w14:textId="77777777" w:rsidR="00AF55A8" w:rsidRPr="00572EE1" w:rsidRDefault="00AF55A8" w:rsidP="00AF55A8">
      <w:pPr>
        <w:rPr>
          <w:rFonts w:asciiTheme="majorBidi" w:hAnsiTheme="majorBidi" w:cstheme="majorBidi"/>
          <w:b/>
          <w:bCs/>
          <w:rtl/>
        </w:rPr>
      </w:pPr>
      <w:r w:rsidRPr="00836E65">
        <w:rPr>
          <w:rFonts w:asciiTheme="majorBidi" w:hAnsiTheme="majorBidi" w:cs="Times New Roman"/>
          <w:b/>
          <w:bCs/>
          <w:sz w:val="28"/>
          <w:szCs w:val="28"/>
          <w:rtl/>
        </w:rPr>
        <w:t>التناقضات النظرية في الاستشراق</w:t>
      </w:r>
      <w:r>
        <w:rPr>
          <w:rFonts w:asciiTheme="majorBidi" w:hAnsiTheme="majorBidi" w:cs="Times New Roman" w:hint="cs"/>
          <w:b/>
          <w:bCs/>
          <w:sz w:val="28"/>
          <w:szCs w:val="28"/>
          <w:rtl/>
        </w:rPr>
        <w:t xml:space="preserve"> </w:t>
      </w:r>
      <w:r w:rsidRPr="00836E65">
        <w:rPr>
          <w:rFonts w:asciiTheme="majorBidi" w:hAnsiTheme="majorBidi" w:cs="Times New Roman"/>
          <w:b/>
          <w:bCs/>
        </w:rPr>
        <w:t>(</w:t>
      </w:r>
      <w:r w:rsidRPr="00836E65">
        <w:rPr>
          <w:rFonts w:asciiTheme="majorBidi" w:hAnsiTheme="majorBidi" w:cstheme="majorBidi"/>
          <w:b/>
          <w:bCs/>
        </w:rPr>
        <w:t>Theoretical inconsistencies in Orientalism)</w:t>
      </w:r>
      <w:r>
        <w:rPr>
          <w:rFonts w:asciiTheme="majorBidi" w:hAnsiTheme="majorBidi" w:cstheme="majorBidi"/>
          <w:b/>
          <w:bCs/>
          <w:sz w:val="28"/>
          <w:szCs w:val="28"/>
        </w:rPr>
        <w:t xml:space="preserve"> </w:t>
      </w:r>
    </w:p>
    <w:p w14:paraId="1D4938C4" w14:textId="5023BCD9" w:rsidR="00AF55A8" w:rsidRDefault="00AF55A8" w:rsidP="00AF55A8">
      <w:pPr>
        <w:rPr>
          <w:rFonts w:asciiTheme="majorBidi" w:eastAsia="Calibri" w:hAnsiTheme="majorBidi" w:cstheme="majorBidi"/>
          <w:sz w:val="24"/>
          <w:szCs w:val="24"/>
          <w:rtl/>
        </w:rPr>
      </w:pPr>
    </w:p>
    <w:p w14:paraId="37802583" w14:textId="77777777" w:rsidR="00AF55A8" w:rsidRPr="00836E65" w:rsidRDefault="00AF55A8" w:rsidP="00AF55A8">
      <w:pPr>
        <w:jc w:val="both"/>
        <w:rPr>
          <w:rFonts w:asciiTheme="majorBidi" w:hAnsiTheme="majorBidi" w:cstheme="majorBidi"/>
          <w:sz w:val="24"/>
          <w:szCs w:val="24"/>
        </w:rPr>
      </w:pPr>
      <w:r w:rsidRPr="00836E65">
        <w:rPr>
          <w:rFonts w:asciiTheme="majorBidi" w:hAnsiTheme="majorBidi" w:cstheme="majorBidi"/>
          <w:sz w:val="24"/>
          <w:szCs w:val="24"/>
          <w:rtl/>
        </w:rPr>
        <w:t xml:space="preserve">يشكّل دور المثقفين والأكاديميين محورًا أساسيًا في نقد سعيد للاستشراق. إذ يبني سعيد مشروعه </w:t>
      </w:r>
      <w:proofErr w:type="spellStart"/>
      <w:r w:rsidRPr="00836E65">
        <w:rPr>
          <w:rFonts w:asciiTheme="majorBidi" w:hAnsiTheme="majorBidi" w:cstheme="majorBidi"/>
          <w:sz w:val="24"/>
          <w:szCs w:val="24"/>
          <w:rtl/>
        </w:rPr>
        <w:t>التفكيك</w:t>
      </w:r>
      <w:r w:rsidRPr="00836E65">
        <w:rPr>
          <w:rFonts w:asciiTheme="majorBidi" w:hAnsiTheme="majorBidi" w:cstheme="majorBidi" w:hint="cs"/>
          <w:sz w:val="24"/>
          <w:szCs w:val="24"/>
          <w:rtl/>
        </w:rPr>
        <w:t>ي</w:t>
      </w:r>
      <w:proofErr w:type="spellEnd"/>
      <w:r w:rsidRPr="00836E65">
        <w:rPr>
          <w:rFonts w:asciiTheme="majorBidi" w:hAnsiTheme="majorBidi" w:cstheme="majorBidi"/>
          <w:sz w:val="24"/>
          <w:szCs w:val="24"/>
          <w:rtl/>
        </w:rPr>
        <w:t xml:space="preserve"> برمّته على تقاليد الكتابة الغربية، وعلى نظريات فلسفية تُعدّ بدورها جزءًا من هذا التراث. وفي هذا السياق، يستند سعيد إلى </w:t>
      </w:r>
      <w:r w:rsidRPr="00F07B16">
        <w:rPr>
          <w:rFonts w:asciiTheme="majorBidi" w:hAnsiTheme="majorBidi" w:cstheme="majorBidi"/>
          <w:sz w:val="24"/>
          <w:szCs w:val="24"/>
          <w:rtl/>
        </w:rPr>
        <w:t xml:space="preserve">أفكار نيتشه (التمثيل والشيء في ذاته)، وفوكو (الخطاب، السلطة/المعرفة، </w:t>
      </w:r>
      <w:proofErr w:type="spellStart"/>
      <w:r w:rsidRPr="00F07B16">
        <w:rPr>
          <w:rFonts w:asciiTheme="majorBidi" w:hAnsiTheme="majorBidi" w:cstheme="majorBidi"/>
          <w:sz w:val="24"/>
          <w:szCs w:val="24"/>
          <w:rtl/>
        </w:rPr>
        <w:t>الإبستيميه</w:t>
      </w:r>
      <w:proofErr w:type="spellEnd"/>
      <w:r w:rsidRPr="00F07B16">
        <w:rPr>
          <w:rFonts w:asciiTheme="majorBidi" w:hAnsiTheme="majorBidi" w:cstheme="majorBidi"/>
          <w:sz w:val="24"/>
          <w:szCs w:val="24"/>
          <w:rtl/>
        </w:rPr>
        <w:t xml:space="preserve">، وأنظمة الحقيقة)، </w:t>
      </w:r>
      <w:proofErr w:type="spellStart"/>
      <w:r w:rsidRPr="00F07B16">
        <w:rPr>
          <w:rFonts w:asciiTheme="majorBidi" w:hAnsiTheme="majorBidi" w:cstheme="majorBidi"/>
          <w:sz w:val="24"/>
          <w:szCs w:val="24"/>
          <w:rtl/>
        </w:rPr>
        <w:t>وغرامشي</w:t>
      </w:r>
      <w:proofErr w:type="spellEnd"/>
      <w:r w:rsidRPr="00F07B16">
        <w:rPr>
          <w:rFonts w:asciiTheme="majorBidi" w:hAnsiTheme="majorBidi" w:cstheme="majorBidi"/>
          <w:sz w:val="24"/>
          <w:szCs w:val="24"/>
          <w:rtl/>
        </w:rPr>
        <w:t xml:space="preserve"> (الهيمنة الثقافية)، ودريدا (التفكيك)</w:t>
      </w:r>
      <w:r w:rsidRPr="00836E65">
        <w:rPr>
          <w:rFonts w:asciiTheme="majorBidi" w:hAnsiTheme="majorBidi" w:cstheme="majorBidi"/>
          <w:b/>
          <w:bCs/>
          <w:i/>
          <w:iCs/>
          <w:sz w:val="24"/>
          <w:szCs w:val="24"/>
          <w:rtl/>
        </w:rPr>
        <w:t>.</w:t>
      </w:r>
    </w:p>
    <w:p w14:paraId="4A2BDDD1" w14:textId="77777777" w:rsidR="00AF55A8" w:rsidRPr="004C5BE4" w:rsidRDefault="00AF55A8" w:rsidP="00AF55A8">
      <w:pPr>
        <w:jc w:val="both"/>
        <w:rPr>
          <w:rFonts w:asciiTheme="majorBidi" w:hAnsiTheme="majorBidi" w:cs="Times New Roman"/>
          <w:i/>
          <w:iCs/>
          <w:rtl/>
        </w:rPr>
      </w:pPr>
      <w:r w:rsidRPr="004C5BE4">
        <w:rPr>
          <w:rFonts w:asciiTheme="majorBidi" w:hAnsiTheme="majorBidi" w:cs="Times New Roman"/>
          <w:sz w:val="24"/>
          <w:szCs w:val="24"/>
          <w:rtl/>
        </w:rPr>
        <w:t xml:space="preserve">وفي رفضه للخلط بين التمثيل والحقيقة، يتّبع سعيد تقليدًا </w:t>
      </w:r>
      <w:proofErr w:type="spellStart"/>
      <w:r w:rsidRPr="004C5BE4">
        <w:rPr>
          <w:rFonts w:asciiTheme="majorBidi" w:hAnsiTheme="majorBidi" w:cs="Times New Roman"/>
          <w:sz w:val="24"/>
          <w:szCs w:val="24"/>
          <w:rtl/>
        </w:rPr>
        <w:t>نيتشويًا</w:t>
      </w:r>
      <w:proofErr w:type="spellEnd"/>
      <w:r w:rsidRPr="004C5BE4">
        <w:rPr>
          <w:rFonts w:asciiTheme="majorBidi" w:hAnsiTheme="majorBidi" w:cs="Times New Roman"/>
          <w:sz w:val="24"/>
          <w:szCs w:val="24"/>
          <w:rtl/>
        </w:rPr>
        <w:t xml:space="preserve"> واضحًا. فنيتشه، حين يضرب مثالًا باللوحة الفنية التي يُنظر إليها عادة بوصفها صورة ثابتة تمثّل موضوعًا ثابتًا، يخلص إلى أنّ «العقل البشري هو الذي سمح للمظهر أن يظهر، وأسقط تصوّراته الخاطئة على الأشياء» </w:t>
      </w:r>
      <w:r w:rsidRPr="004C5BE4">
        <w:rPr>
          <w:rFonts w:asciiTheme="majorBidi" w:hAnsiTheme="majorBidi" w:cs="Times New Roman"/>
          <w:i/>
          <w:iCs/>
          <w:rtl/>
        </w:rPr>
        <w:t>(نيتشه، 2000: 38).</w:t>
      </w:r>
    </w:p>
    <w:p w14:paraId="0FE982DB" w14:textId="77777777" w:rsidR="00AF55A8" w:rsidRPr="004C5BE4" w:rsidRDefault="00AF55A8" w:rsidP="00AF55A8">
      <w:pPr>
        <w:jc w:val="both"/>
        <w:rPr>
          <w:rFonts w:asciiTheme="majorBidi" w:hAnsiTheme="majorBidi" w:cstheme="majorBidi"/>
          <w:sz w:val="24"/>
          <w:szCs w:val="24"/>
          <w:rtl/>
        </w:rPr>
      </w:pPr>
      <w:r w:rsidRPr="004C5BE4">
        <w:rPr>
          <w:rFonts w:asciiTheme="majorBidi" w:hAnsiTheme="majorBidi" w:cs="Times New Roman"/>
          <w:sz w:val="24"/>
          <w:szCs w:val="24"/>
          <w:rtl/>
        </w:rPr>
        <w:t xml:space="preserve"> ويستند هذا إلى الاعتقاد الخاطئ بأن الشيء في ذاته يوجد دائمًا على النحو الذي يُصوَّر به.</w:t>
      </w:r>
    </w:p>
    <w:p w14:paraId="0C4DBC91" w14:textId="77777777" w:rsidR="00AF55A8" w:rsidRDefault="00AF55A8" w:rsidP="00AF55A8">
      <w:pPr>
        <w:rPr>
          <w:rFonts w:asciiTheme="majorBidi" w:hAnsiTheme="majorBidi" w:cs="Times New Roman"/>
          <w:sz w:val="24"/>
          <w:szCs w:val="24"/>
        </w:rPr>
      </w:pPr>
      <w:r w:rsidRPr="00F7484C">
        <w:rPr>
          <w:rFonts w:asciiTheme="majorBidi" w:hAnsiTheme="majorBidi" w:cs="Times New Roman"/>
          <w:sz w:val="24"/>
          <w:szCs w:val="24"/>
          <w:rtl/>
        </w:rPr>
        <w:t>ويرى نيتشه أنّ هذا التصوّر خاطئ، لأن «المظهر قد نشأ تدريجيًا، وسيظل في حالة تطوّر مستمر، ولذلك لا يمكن أن يكون تمثيلًا لجوهرٍ خلقه. إنّ عقولنا، ووعينا، هي التي تخلق المظهر تدريجيًا»</w:t>
      </w:r>
      <w:r w:rsidRPr="004C5BE4">
        <w:rPr>
          <w:rFonts w:asciiTheme="majorBidi" w:hAnsiTheme="majorBidi" w:cs="Times New Roman" w:hint="cs"/>
          <w:i/>
          <w:iCs/>
          <w:rtl/>
        </w:rPr>
        <w:t xml:space="preserve"> </w:t>
      </w:r>
      <w:r w:rsidRPr="004C5BE4">
        <w:rPr>
          <w:rFonts w:asciiTheme="majorBidi" w:hAnsiTheme="majorBidi" w:cs="Times New Roman"/>
          <w:i/>
          <w:iCs/>
          <w:rtl/>
        </w:rPr>
        <w:t xml:space="preserve">(نيتشه، 2000: 38). </w:t>
      </w:r>
    </w:p>
    <w:p w14:paraId="1D47B236" w14:textId="77777777" w:rsidR="00AF55A8" w:rsidRDefault="00AF55A8" w:rsidP="00AF55A8">
      <w:pPr>
        <w:bidi w:val="0"/>
        <w:ind w:left="720"/>
        <w:jc w:val="right"/>
        <w:rPr>
          <w:rFonts w:asciiTheme="majorBidi" w:hAnsiTheme="majorBidi" w:cs="Times New Roman"/>
          <w:sz w:val="24"/>
          <w:szCs w:val="24"/>
          <w:rtl/>
        </w:rPr>
      </w:pPr>
      <w:r w:rsidRPr="00F7484C">
        <w:rPr>
          <w:rFonts w:asciiTheme="majorBidi" w:hAnsiTheme="majorBidi" w:cs="Times New Roman"/>
          <w:sz w:val="24"/>
          <w:szCs w:val="24"/>
          <w:rtl/>
        </w:rPr>
        <w:t xml:space="preserve">وبناءً على ذلك، تصبح كلّ التمثيلات في جوهرها </w:t>
      </w:r>
      <w:r w:rsidRPr="004C5BE4">
        <w:rPr>
          <w:rFonts w:asciiTheme="majorBidi" w:hAnsiTheme="majorBidi" w:cs="Times New Roman"/>
          <w:sz w:val="24"/>
          <w:szCs w:val="24"/>
          <w:rtl/>
        </w:rPr>
        <w:t>إساءة تمثيل</w:t>
      </w:r>
      <w:r w:rsidRPr="00F7484C">
        <w:rPr>
          <w:rFonts w:asciiTheme="majorBidi" w:hAnsiTheme="majorBidi" w:cs="Times New Roman"/>
          <w:sz w:val="24"/>
          <w:szCs w:val="24"/>
          <w:rtl/>
        </w:rPr>
        <w:t>، لمجرّد أنّها تدّعي تمثيل شيء ما</w:t>
      </w:r>
      <w:r>
        <w:rPr>
          <w:rFonts w:asciiTheme="majorBidi" w:hAnsiTheme="majorBidi" w:cs="Times New Roman" w:hint="cs"/>
          <w:sz w:val="24"/>
          <w:szCs w:val="24"/>
          <w:rtl/>
        </w:rPr>
        <w:t>.</w:t>
      </w:r>
    </w:p>
    <w:p w14:paraId="628C898C" w14:textId="77777777" w:rsidR="00AF55A8" w:rsidRDefault="00AF55A8" w:rsidP="00AF55A8">
      <w:pPr>
        <w:jc w:val="both"/>
        <w:rPr>
          <w:rFonts w:asciiTheme="majorBidi" w:hAnsiTheme="majorBidi" w:cs="Times New Roman"/>
          <w:sz w:val="24"/>
          <w:szCs w:val="24"/>
          <w:rtl/>
        </w:rPr>
      </w:pPr>
      <w:r w:rsidRPr="009730A6">
        <w:rPr>
          <w:rFonts w:asciiTheme="majorBidi" w:hAnsiTheme="majorBidi" w:cs="Times New Roman"/>
          <w:sz w:val="24"/>
          <w:szCs w:val="24"/>
          <w:rtl/>
        </w:rPr>
        <w:t xml:space="preserve">وعليه، فإنّ الاستشراق، حين يدّعي تمثيل الشرق، لا يمثل في الواقع سوى تصوّره الذاتي عمّا يفترض أنّه خارج بناء </w:t>
      </w:r>
      <w:r w:rsidRPr="004C5BE4">
        <w:rPr>
          <w:rFonts w:asciiTheme="majorBidi" w:hAnsiTheme="majorBidi" w:cs="Times New Roman"/>
          <w:sz w:val="24"/>
          <w:szCs w:val="24"/>
          <w:rtl/>
        </w:rPr>
        <w:t>«الغرب المثالي».</w:t>
      </w:r>
      <w:r w:rsidRPr="009730A6">
        <w:rPr>
          <w:rFonts w:asciiTheme="majorBidi" w:hAnsiTheme="majorBidi" w:cs="Times New Roman"/>
          <w:sz w:val="24"/>
          <w:szCs w:val="24"/>
          <w:rtl/>
        </w:rPr>
        <w:t xml:space="preserve"> فالشرق الذي يدّعي المستشرقون تمثيله</w:t>
      </w:r>
      <w:r>
        <w:rPr>
          <w:rFonts w:asciiTheme="majorBidi" w:hAnsiTheme="majorBidi" w:cs="Times New Roman" w:hint="cs"/>
          <w:sz w:val="24"/>
          <w:szCs w:val="24"/>
          <w:rtl/>
        </w:rPr>
        <w:t xml:space="preserve">، </w:t>
      </w:r>
      <w:r w:rsidRPr="009730A6">
        <w:rPr>
          <w:rFonts w:asciiTheme="majorBidi" w:hAnsiTheme="majorBidi" w:cs="Times New Roman"/>
          <w:sz w:val="24"/>
          <w:szCs w:val="24"/>
          <w:rtl/>
        </w:rPr>
        <w:t>كما تصوّره أدبيات الر</w:t>
      </w:r>
      <w:r>
        <w:rPr>
          <w:rFonts w:asciiTheme="majorBidi" w:hAnsiTheme="majorBidi" w:cs="Times New Roman" w:hint="cs"/>
          <w:sz w:val="24"/>
          <w:szCs w:val="24"/>
          <w:rtl/>
        </w:rPr>
        <w:t>ِّ</w:t>
      </w:r>
      <w:r w:rsidRPr="009730A6">
        <w:rPr>
          <w:rFonts w:asciiTheme="majorBidi" w:hAnsiTheme="majorBidi" w:cs="Times New Roman"/>
          <w:sz w:val="24"/>
          <w:szCs w:val="24"/>
          <w:rtl/>
        </w:rPr>
        <w:t>ح</w:t>
      </w:r>
      <w:r>
        <w:rPr>
          <w:rFonts w:asciiTheme="majorBidi" w:hAnsiTheme="majorBidi" w:cs="Times New Roman" w:hint="cs"/>
          <w:sz w:val="24"/>
          <w:szCs w:val="24"/>
          <w:rtl/>
        </w:rPr>
        <w:t>ْ</w:t>
      </w:r>
      <w:r w:rsidRPr="009730A6">
        <w:rPr>
          <w:rFonts w:asciiTheme="majorBidi" w:hAnsiTheme="majorBidi" w:cs="Times New Roman"/>
          <w:sz w:val="24"/>
          <w:szCs w:val="24"/>
          <w:rtl/>
        </w:rPr>
        <w:t>لات</w:t>
      </w:r>
      <w:r>
        <w:rPr>
          <w:rFonts w:asciiTheme="majorBidi" w:hAnsiTheme="majorBidi" w:cs="Times New Roman" w:hint="cs"/>
          <w:sz w:val="24"/>
          <w:szCs w:val="24"/>
          <w:rtl/>
        </w:rPr>
        <w:t xml:space="preserve">، </w:t>
      </w:r>
      <w:r w:rsidRPr="009730A6">
        <w:rPr>
          <w:rFonts w:asciiTheme="majorBidi" w:hAnsiTheme="majorBidi" w:cs="Times New Roman"/>
          <w:sz w:val="24"/>
          <w:szCs w:val="24"/>
          <w:rtl/>
        </w:rPr>
        <w:t xml:space="preserve">يصبح فارغًا من أي جوهر ثابت. </w:t>
      </w:r>
      <w:r w:rsidRPr="004C5BE4">
        <w:rPr>
          <w:rFonts w:asciiTheme="majorBidi" w:hAnsiTheme="majorBidi" w:cs="Times New Roman"/>
          <w:sz w:val="24"/>
          <w:szCs w:val="24"/>
          <w:rtl/>
        </w:rPr>
        <w:t xml:space="preserve">وكما يقول نيتشه ساخرًا: «ربما سندرك آنذاك أنّ الشيء في ذاته يستحق ضحكة </w:t>
      </w:r>
      <w:proofErr w:type="spellStart"/>
      <w:r w:rsidRPr="004C5BE4">
        <w:rPr>
          <w:rFonts w:asciiTheme="majorBidi" w:hAnsiTheme="majorBidi" w:cs="Times New Roman"/>
          <w:sz w:val="24"/>
          <w:szCs w:val="24"/>
          <w:rtl/>
        </w:rPr>
        <w:t>هوميرية</w:t>
      </w:r>
      <w:proofErr w:type="spellEnd"/>
      <w:r w:rsidRPr="004C5BE4">
        <w:rPr>
          <w:rFonts w:asciiTheme="majorBidi" w:hAnsiTheme="majorBidi" w:cs="Times New Roman"/>
          <w:sz w:val="24"/>
          <w:szCs w:val="24"/>
          <w:rtl/>
        </w:rPr>
        <w:t xml:space="preserve">، إذ بدا وكأنه كلّ شيء، لكنه في الحقيقة فارغ، أي فارغ من المعنى» </w:t>
      </w:r>
      <w:r w:rsidRPr="009261A6">
        <w:rPr>
          <w:rFonts w:asciiTheme="majorBidi" w:hAnsiTheme="majorBidi" w:cs="Times New Roman"/>
          <w:i/>
          <w:iCs/>
          <w:rtl/>
        </w:rPr>
        <w:t>(نيتشه، 2000: 38)</w:t>
      </w:r>
      <w:r w:rsidRPr="009261A6">
        <w:rPr>
          <w:rFonts w:asciiTheme="majorBidi" w:hAnsiTheme="majorBidi" w:cs="Times New Roman" w:hint="cs"/>
          <w:i/>
          <w:iCs/>
          <w:rtl/>
        </w:rPr>
        <w:t>.</w:t>
      </w:r>
    </w:p>
    <w:p w14:paraId="4485A816" w14:textId="77777777" w:rsidR="00AF55A8" w:rsidRDefault="00AF55A8" w:rsidP="00AF55A8">
      <w:pPr>
        <w:spacing w:after="0"/>
        <w:jc w:val="both"/>
        <w:rPr>
          <w:rFonts w:asciiTheme="majorBidi" w:eastAsia="Calibri" w:hAnsiTheme="majorBidi" w:cstheme="majorBidi"/>
          <w:sz w:val="24"/>
          <w:szCs w:val="24"/>
          <w:rtl/>
        </w:rPr>
      </w:pPr>
      <w:r w:rsidRPr="009261A6">
        <w:rPr>
          <w:rFonts w:asciiTheme="majorBidi" w:eastAsia="Calibri" w:hAnsiTheme="majorBidi" w:cstheme="majorBidi"/>
          <w:sz w:val="24"/>
          <w:szCs w:val="24"/>
          <w:rtl/>
        </w:rPr>
        <w:t xml:space="preserve">ويستعير سعيد من أنطونيو </w:t>
      </w:r>
      <w:proofErr w:type="spellStart"/>
      <w:r w:rsidRPr="009261A6">
        <w:rPr>
          <w:rFonts w:asciiTheme="majorBidi" w:eastAsia="Calibri" w:hAnsiTheme="majorBidi" w:cstheme="majorBidi"/>
          <w:sz w:val="24"/>
          <w:szCs w:val="24"/>
          <w:rtl/>
        </w:rPr>
        <w:t>غرامشي</w:t>
      </w:r>
      <w:proofErr w:type="spellEnd"/>
      <w:r w:rsidRPr="009261A6">
        <w:rPr>
          <w:rFonts w:asciiTheme="majorBidi" w:eastAsia="Calibri" w:hAnsiTheme="majorBidi" w:cstheme="majorBidi"/>
          <w:sz w:val="24"/>
          <w:szCs w:val="24"/>
          <w:rtl/>
        </w:rPr>
        <w:t xml:space="preserve"> مفهوم الهيمنة الثقافية، التي تُمارَس في المجتمع من قِبل الطبقة الحاكمة. فالمثقفون، ح</w:t>
      </w:r>
      <w:r w:rsidRPr="009261A6">
        <w:rPr>
          <w:rFonts w:asciiTheme="majorBidi" w:eastAsia="Calibri" w:hAnsiTheme="majorBidi" w:cstheme="majorBidi" w:hint="cs"/>
          <w:sz w:val="24"/>
          <w:szCs w:val="24"/>
          <w:rtl/>
        </w:rPr>
        <w:t>َ</w:t>
      </w:r>
      <w:r w:rsidRPr="009261A6">
        <w:rPr>
          <w:rFonts w:asciiTheme="majorBidi" w:eastAsia="Calibri" w:hAnsiTheme="majorBidi" w:cstheme="majorBidi"/>
          <w:sz w:val="24"/>
          <w:szCs w:val="24"/>
          <w:rtl/>
        </w:rPr>
        <w:t>س</w:t>
      </w:r>
      <w:r w:rsidRPr="009261A6">
        <w:rPr>
          <w:rFonts w:asciiTheme="majorBidi" w:eastAsia="Calibri" w:hAnsiTheme="majorBidi" w:cstheme="majorBidi" w:hint="cs"/>
          <w:sz w:val="24"/>
          <w:szCs w:val="24"/>
          <w:rtl/>
        </w:rPr>
        <w:t>َ</w:t>
      </w:r>
      <w:r w:rsidRPr="009261A6">
        <w:rPr>
          <w:rFonts w:asciiTheme="majorBidi" w:eastAsia="Calibri" w:hAnsiTheme="majorBidi" w:cstheme="majorBidi"/>
          <w:sz w:val="24"/>
          <w:szCs w:val="24"/>
          <w:rtl/>
        </w:rPr>
        <w:t>ب</w:t>
      </w:r>
      <w:r w:rsidRPr="009261A6">
        <w:rPr>
          <w:rFonts w:asciiTheme="majorBidi" w:eastAsia="Calibri" w:hAnsiTheme="majorBidi" w:cstheme="majorBidi" w:hint="cs"/>
          <w:sz w:val="24"/>
          <w:szCs w:val="24"/>
          <w:rtl/>
        </w:rPr>
        <w:t>َ</w:t>
      </w:r>
      <w:r w:rsidRPr="009261A6">
        <w:rPr>
          <w:rFonts w:asciiTheme="majorBidi" w:eastAsia="Calibri" w:hAnsiTheme="majorBidi" w:cstheme="majorBidi"/>
          <w:sz w:val="24"/>
          <w:szCs w:val="24"/>
          <w:rtl/>
        </w:rPr>
        <w:t xml:space="preserve"> </w:t>
      </w:r>
      <w:proofErr w:type="spellStart"/>
      <w:r w:rsidRPr="009261A6">
        <w:rPr>
          <w:rFonts w:asciiTheme="majorBidi" w:eastAsia="Calibri" w:hAnsiTheme="majorBidi" w:cstheme="majorBidi"/>
          <w:sz w:val="24"/>
          <w:szCs w:val="24"/>
          <w:rtl/>
        </w:rPr>
        <w:t>غرامشي</w:t>
      </w:r>
      <w:proofErr w:type="spellEnd"/>
      <w:r w:rsidRPr="009261A6">
        <w:rPr>
          <w:rFonts w:asciiTheme="majorBidi" w:eastAsia="Calibri" w:hAnsiTheme="majorBidi" w:cstheme="majorBidi"/>
          <w:sz w:val="24"/>
          <w:szCs w:val="24"/>
          <w:rtl/>
        </w:rPr>
        <w:t xml:space="preserve">، يؤدّون وظيفة «ضبّاط» الطبقة الحاكمة في ممارسة الهيمنة الاجتماعية والقيادة السياسية، من خلال إنتاج «القبول العفوي» لدى الجماهير العريضة بالاتجاه الذي تفرضه الطبقة المهيمنة على الحياة الاجتماعية. وينشأ هذا القبول تاريخيًا من «الهيبة» و«الثقة» المكتسبتين بفعل موقع الطبقة الحاكمة ووظيفتها في عالم الإنتاج </w:t>
      </w:r>
      <w:r w:rsidRPr="009261A6">
        <w:rPr>
          <w:rFonts w:asciiTheme="majorBidi" w:eastAsia="Calibri" w:hAnsiTheme="majorBidi" w:cstheme="majorBidi"/>
          <w:i/>
          <w:iCs/>
          <w:rtl/>
        </w:rPr>
        <w:t>(</w:t>
      </w:r>
      <w:proofErr w:type="spellStart"/>
      <w:r w:rsidRPr="009261A6">
        <w:rPr>
          <w:rFonts w:asciiTheme="majorBidi" w:eastAsia="Calibri" w:hAnsiTheme="majorBidi" w:cstheme="majorBidi"/>
          <w:i/>
          <w:iCs/>
          <w:rtl/>
        </w:rPr>
        <w:t>غرامش</w:t>
      </w:r>
      <w:r w:rsidRPr="009261A6">
        <w:rPr>
          <w:rFonts w:asciiTheme="majorBidi" w:eastAsia="Calibri" w:hAnsiTheme="majorBidi" w:cstheme="majorBidi" w:hint="cs"/>
          <w:i/>
          <w:iCs/>
          <w:rtl/>
        </w:rPr>
        <w:t>ی</w:t>
      </w:r>
      <w:proofErr w:type="spellEnd"/>
      <w:r w:rsidRPr="009261A6">
        <w:rPr>
          <w:rFonts w:asciiTheme="majorBidi" w:eastAsia="Calibri" w:hAnsiTheme="majorBidi" w:cstheme="majorBidi" w:hint="eastAsia"/>
          <w:i/>
          <w:iCs/>
          <w:rtl/>
        </w:rPr>
        <w:t>،</w:t>
      </w:r>
      <w:r w:rsidRPr="009261A6">
        <w:rPr>
          <w:rFonts w:asciiTheme="majorBidi" w:eastAsia="Calibri" w:hAnsiTheme="majorBidi" w:cstheme="majorBidi"/>
          <w:i/>
          <w:iCs/>
          <w:rtl/>
        </w:rPr>
        <w:t xml:space="preserve"> 2000، 40)</w:t>
      </w:r>
      <w:r w:rsidRPr="009261A6">
        <w:rPr>
          <w:rFonts w:asciiTheme="majorBidi" w:eastAsia="Calibri" w:hAnsiTheme="majorBidi" w:cstheme="majorBidi" w:hint="cs"/>
          <w:i/>
          <w:iCs/>
          <w:rtl/>
        </w:rPr>
        <w:t>.</w:t>
      </w:r>
    </w:p>
    <w:p w14:paraId="568E20DE" w14:textId="77777777" w:rsidR="00AF55A8" w:rsidRPr="009261A6" w:rsidRDefault="00AF55A8" w:rsidP="00AF55A8">
      <w:pPr>
        <w:spacing w:before="240" w:after="0"/>
        <w:jc w:val="both"/>
        <w:rPr>
          <w:rFonts w:asciiTheme="majorBidi" w:eastAsia="Calibri" w:hAnsiTheme="majorBidi" w:cstheme="majorBidi"/>
          <w:sz w:val="24"/>
          <w:szCs w:val="24"/>
          <w:rtl/>
        </w:rPr>
      </w:pPr>
      <w:r w:rsidRPr="009261A6">
        <w:rPr>
          <w:rFonts w:asciiTheme="majorBidi" w:eastAsia="Calibri" w:hAnsiTheme="majorBidi" w:cstheme="majorBidi"/>
          <w:sz w:val="24"/>
          <w:szCs w:val="24"/>
          <w:rtl/>
        </w:rPr>
        <w:t xml:space="preserve">ويتعامل </w:t>
      </w:r>
      <w:proofErr w:type="spellStart"/>
      <w:r w:rsidRPr="009261A6">
        <w:rPr>
          <w:rFonts w:asciiTheme="majorBidi" w:eastAsia="Calibri" w:hAnsiTheme="majorBidi" w:cstheme="majorBidi"/>
          <w:sz w:val="24"/>
          <w:szCs w:val="24"/>
          <w:rtl/>
        </w:rPr>
        <w:t>غرامشي</w:t>
      </w:r>
      <w:proofErr w:type="spellEnd"/>
      <w:r w:rsidRPr="009261A6">
        <w:rPr>
          <w:rFonts w:asciiTheme="majorBidi" w:eastAsia="Calibri" w:hAnsiTheme="majorBidi" w:cstheme="majorBidi"/>
          <w:sz w:val="24"/>
          <w:szCs w:val="24"/>
          <w:rtl/>
        </w:rPr>
        <w:t xml:space="preserve"> هنا مع معرفة المثقفين بوصفها شك</w:t>
      </w:r>
      <w:r w:rsidRPr="009261A6">
        <w:rPr>
          <w:rFonts w:asciiTheme="majorBidi" w:eastAsia="Calibri" w:hAnsiTheme="majorBidi" w:cstheme="majorBidi" w:hint="cs"/>
          <w:sz w:val="24"/>
          <w:szCs w:val="24"/>
          <w:rtl/>
        </w:rPr>
        <w:t>لاً</w:t>
      </w:r>
      <w:r w:rsidRPr="009261A6">
        <w:rPr>
          <w:rFonts w:asciiTheme="majorBidi" w:eastAsia="Calibri" w:hAnsiTheme="majorBidi" w:cstheme="majorBidi"/>
          <w:sz w:val="24"/>
          <w:szCs w:val="24"/>
          <w:rtl/>
        </w:rPr>
        <w:t xml:space="preserve"> من أشكال «الإنتاج»، وإن كان إنتاجًا غير مباشر. فدور المثقف في تشكيل الرأي العام ينبع من موقعه الوسيط بين النسيج الاجتماعي و</w:t>
      </w:r>
      <w:r w:rsidRPr="009261A6">
        <w:rPr>
          <w:rFonts w:asciiTheme="majorBidi" w:eastAsia="Calibri" w:hAnsiTheme="majorBidi" w:cstheme="majorBidi" w:hint="cs"/>
          <w:sz w:val="24"/>
          <w:szCs w:val="24"/>
          <w:rtl/>
        </w:rPr>
        <w:t xml:space="preserve"> </w:t>
      </w:r>
      <w:r w:rsidRPr="009261A6">
        <w:rPr>
          <w:rFonts w:asciiTheme="majorBidi" w:eastAsia="Calibri" w:hAnsiTheme="majorBidi" w:cstheme="majorBidi"/>
          <w:sz w:val="24"/>
          <w:szCs w:val="24"/>
          <w:rtl/>
        </w:rPr>
        <w:t>«البُنى الفوقية» التي يُعدّ المثقفون موظّفيها الرسميين. وبالنسبة لسعيد، فإنّ الاستمرار في القبول العفوي للرؤية الثنائية للعالم</w:t>
      </w:r>
      <w:r w:rsidRPr="009261A6">
        <w:rPr>
          <w:rFonts w:asciiTheme="majorBidi" w:eastAsia="Calibri" w:hAnsiTheme="majorBidi" w:cstheme="majorBidi" w:hint="cs"/>
          <w:sz w:val="24"/>
          <w:szCs w:val="24"/>
          <w:rtl/>
        </w:rPr>
        <w:t xml:space="preserve">، </w:t>
      </w:r>
      <w:r w:rsidRPr="009261A6">
        <w:rPr>
          <w:rFonts w:asciiTheme="majorBidi" w:eastAsia="Calibri" w:hAnsiTheme="majorBidi" w:cstheme="majorBidi"/>
          <w:sz w:val="24"/>
          <w:szCs w:val="24"/>
          <w:rtl/>
        </w:rPr>
        <w:t>غرب في مقابل شرق</w:t>
      </w:r>
      <w:r w:rsidRPr="009261A6">
        <w:rPr>
          <w:rFonts w:asciiTheme="majorBidi" w:eastAsia="Calibri" w:hAnsiTheme="majorBidi" w:cstheme="majorBidi" w:hint="cs"/>
          <w:sz w:val="24"/>
          <w:szCs w:val="24"/>
          <w:rtl/>
        </w:rPr>
        <w:t xml:space="preserve">، </w:t>
      </w:r>
      <w:r w:rsidRPr="009261A6">
        <w:rPr>
          <w:rFonts w:asciiTheme="majorBidi" w:eastAsia="Calibri" w:hAnsiTheme="majorBidi" w:cstheme="majorBidi"/>
          <w:sz w:val="24"/>
          <w:szCs w:val="24"/>
          <w:rtl/>
        </w:rPr>
        <w:t>يقوم في الحقل الأكاديمي على حماية التراتبيات التي تُبقي هذا التصوّر الثنائي قائمًا في الوعي العام</w:t>
      </w:r>
      <w:r w:rsidRPr="009261A6">
        <w:rPr>
          <w:rFonts w:asciiTheme="majorBidi" w:eastAsia="Calibri" w:hAnsiTheme="majorBidi" w:cstheme="majorBidi" w:hint="cs"/>
          <w:sz w:val="24"/>
          <w:szCs w:val="24"/>
          <w:rtl/>
        </w:rPr>
        <w:t>.</w:t>
      </w:r>
    </w:p>
    <w:p w14:paraId="258FCC6D" w14:textId="77777777" w:rsidR="00AF55A8" w:rsidRPr="009261A6" w:rsidRDefault="00AF55A8" w:rsidP="000E0CE7">
      <w:pPr>
        <w:spacing w:before="240" w:after="0"/>
        <w:jc w:val="both"/>
        <w:rPr>
          <w:rFonts w:asciiTheme="majorBidi" w:eastAsia="Calibri" w:hAnsiTheme="majorBidi" w:cstheme="majorBidi"/>
          <w:sz w:val="24"/>
          <w:szCs w:val="24"/>
          <w:rtl/>
        </w:rPr>
      </w:pPr>
      <w:r w:rsidRPr="009261A6">
        <w:rPr>
          <w:rFonts w:asciiTheme="majorBidi" w:eastAsia="Calibri" w:hAnsiTheme="majorBidi" w:cs="Times New Roman"/>
          <w:sz w:val="24"/>
          <w:szCs w:val="24"/>
          <w:rtl/>
        </w:rPr>
        <w:t xml:space="preserve">وتتقاطع مفاهيم الهيبة والثقة والعلاقة بين الطبقة الحاكمة والمثقفين مع ما يطرحه فوكو في تحليله للعلاقة الوثيقة بين السلطة والمعرفة، ولا سيما في أعماله مثل </w:t>
      </w:r>
      <w:proofErr w:type="spellStart"/>
      <w:r w:rsidRPr="009261A6">
        <w:rPr>
          <w:rFonts w:asciiTheme="majorBidi" w:eastAsia="Calibri" w:hAnsiTheme="majorBidi" w:cs="Times New Roman"/>
          <w:sz w:val="24"/>
          <w:szCs w:val="24"/>
          <w:rtl/>
        </w:rPr>
        <w:t>أركيولوجيا</w:t>
      </w:r>
      <w:proofErr w:type="spellEnd"/>
      <w:r w:rsidRPr="009261A6">
        <w:rPr>
          <w:rFonts w:asciiTheme="majorBidi" w:eastAsia="Calibri" w:hAnsiTheme="majorBidi" w:cs="Times New Roman"/>
          <w:sz w:val="24"/>
          <w:szCs w:val="24"/>
          <w:rtl/>
        </w:rPr>
        <w:t xml:space="preserve"> المعرفة والمعرفة والسلطة. ويلخّص </w:t>
      </w:r>
      <w:proofErr w:type="spellStart"/>
      <w:r w:rsidRPr="009261A6">
        <w:rPr>
          <w:rFonts w:asciiTheme="majorBidi" w:eastAsia="Calibri" w:hAnsiTheme="majorBidi" w:cs="Times New Roman"/>
          <w:sz w:val="24"/>
          <w:szCs w:val="24"/>
          <w:rtl/>
        </w:rPr>
        <w:t>ماكفي</w:t>
      </w:r>
      <w:proofErr w:type="spellEnd"/>
      <w:r w:rsidRPr="009261A6">
        <w:rPr>
          <w:rFonts w:asciiTheme="majorBidi" w:eastAsia="Calibri" w:hAnsiTheme="majorBidi" w:cs="Times New Roman"/>
          <w:sz w:val="24"/>
          <w:szCs w:val="24"/>
          <w:rtl/>
        </w:rPr>
        <w:t xml:space="preserve"> رؤية فوكو على النحو الآتي:</w:t>
      </w:r>
    </w:p>
    <w:p w14:paraId="18A23B08" w14:textId="77777777" w:rsidR="00AF55A8" w:rsidRDefault="00AF55A8" w:rsidP="00AF55A8">
      <w:pPr>
        <w:spacing w:before="240"/>
        <w:jc w:val="both"/>
        <w:rPr>
          <w:rFonts w:asciiTheme="majorBidi" w:hAnsiTheme="majorBidi" w:cstheme="majorBidi"/>
          <w:b/>
          <w:bCs/>
          <w:sz w:val="24"/>
          <w:szCs w:val="24"/>
          <w:rtl/>
        </w:rPr>
      </w:pPr>
      <w:r w:rsidRPr="00715EFC">
        <w:rPr>
          <w:rFonts w:asciiTheme="majorBidi" w:eastAsia="Calibri" w:hAnsiTheme="majorBidi" w:cstheme="majorBidi"/>
          <w:b/>
          <w:bCs/>
          <w:sz w:val="24"/>
          <w:szCs w:val="24"/>
          <w:rtl/>
        </w:rPr>
        <w:t>«</w:t>
      </w:r>
      <w:r w:rsidRPr="00715EFC">
        <w:rPr>
          <w:rFonts w:asciiTheme="majorBidi" w:hAnsiTheme="majorBidi" w:cstheme="majorBidi"/>
          <w:b/>
          <w:bCs/>
          <w:sz w:val="24"/>
          <w:szCs w:val="24"/>
          <w:rtl/>
        </w:rPr>
        <w:t xml:space="preserve">حتى عصر النهضة، كان الناس يفترضون أنّ اللغة تعكس الواقع. غير أنّ اللغة، في أواخر القرن الثامن عشر والتاسع عشر، بدأت تُفهم لا بوصفها مرآة للواقع، بل بوصفها غشاءً شفافًا منفصلًا عنه. ونتيجة لذلك، أمكن النظر إلى الكلمات والعبارات لا بوصفها علامات تمثّل الأشياء، بل بوصفها أحداثًا قائمة بذاتها داخل فضاء معرفي أو </w:t>
      </w:r>
      <w:proofErr w:type="spellStart"/>
      <w:r w:rsidRPr="00715EFC">
        <w:rPr>
          <w:rFonts w:asciiTheme="majorBidi" w:hAnsiTheme="majorBidi" w:cstheme="majorBidi"/>
          <w:b/>
          <w:bCs/>
          <w:sz w:val="24"/>
          <w:szCs w:val="24"/>
          <w:rtl/>
        </w:rPr>
        <w:t>إبستيميه</w:t>
      </w:r>
      <w:proofErr w:type="spellEnd"/>
      <w:r w:rsidRPr="00715EFC">
        <w:rPr>
          <w:rFonts w:asciiTheme="majorBidi" w:hAnsiTheme="majorBidi" w:cstheme="majorBidi"/>
          <w:b/>
          <w:bCs/>
          <w:sz w:val="24"/>
          <w:szCs w:val="24"/>
          <w:rtl/>
        </w:rPr>
        <w:t xml:space="preserve">. وفي هذا العالم الغريب، لم تعد المعرفة مسألة وقائع، بل نتيجة صراع على السلطة، حيث تنتج الخطابات أنظمة حقيقة جديدة لا تعيش إلا إلى أن تحلّ محلّها أنظمة أخرى» </w:t>
      </w:r>
      <w:r w:rsidRPr="009261A6">
        <w:rPr>
          <w:rFonts w:asciiTheme="majorBidi" w:hAnsiTheme="majorBidi" w:cstheme="majorBidi"/>
          <w:i/>
          <w:iCs/>
          <w:rtl/>
        </w:rPr>
        <w:t>(</w:t>
      </w:r>
      <w:proofErr w:type="spellStart"/>
      <w:r w:rsidRPr="009261A6">
        <w:rPr>
          <w:rFonts w:asciiTheme="majorBidi" w:hAnsiTheme="majorBidi" w:cstheme="majorBidi"/>
          <w:i/>
          <w:iCs/>
          <w:rtl/>
        </w:rPr>
        <w:t>ماكفي</w:t>
      </w:r>
      <w:proofErr w:type="spellEnd"/>
      <w:r w:rsidRPr="009261A6">
        <w:rPr>
          <w:rFonts w:asciiTheme="majorBidi" w:hAnsiTheme="majorBidi" w:cstheme="majorBidi"/>
          <w:i/>
          <w:iCs/>
          <w:rtl/>
        </w:rPr>
        <w:t>، 2000: 41).</w:t>
      </w:r>
    </w:p>
    <w:p w14:paraId="22BF55AF" w14:textId="77777777" w:rsidR="00AF55A8" w:rsidRDefault="00AF55A8" w:rsidP="00AF55A8">
      <w:pPr>
        <w:spacing w:after="0"/>
        <w:jc w:val="both"/>
        <w:rPr>
          <w:rFonts w:asciiTheme="majorBidi" w:eastAsia="Calibri" w:hAnsiTheme="majorBidi" w:cstheme="majorBidi"/>
          <w:sz w:val="24"/>
          <w:szCs w:val="24"/>
          <w:rtl/>
        </w:rPr>
      </w:pPr>
      <w:r w:rsidRPr="009261A6">
        <w:rPr>
          <w:rFonts w:asciiTheme="majorBidi" w:eastAsia="Calibri" w:hAnsiTheme="majorBidi" w:cs="Times New Roman"/>
          <w:sz w:val="24"/>
          <w:szCs w:val="24"/>
          <w:rtl/>
        </w:rPr>
        <w:t xml:space="preserve">ويبني سعيد على هذا التصوّر </w:t>
      </w:r>
      <w:proofErr w:type="spellStart"/>
      <w:r w:rsidRPr="009261A6">
        <w:rPr>
          <w:rFonts w:asciiTheme="majorBidi" w:eastAsia="Calibri" w:hAnsiTheme="majorBidi" w:cs="Times New Roman"/>
          <w:sz w:val="24"/>
          <w:szCs w:val="24"/>
          <w:rtl/>
        </w:rPr>
        <w:t>الفوكوي</w:t>
      </w:r>
      <w:proofErr w:type="spellEnd"/>
      <w:r w:rsidRPr="009261A6">
        <w:rPr>
          <w:rFonts w:asciiTheme="majorBidi" w:eastAsia="Calibri" w:hAnsiTheme="majorBidi" w:cs="Times New Roman"/>
          <w:sz w:val="24"/>
          <w:szCs w:val="24"/>
          <w:rtl/>
        </w:rPr>
        <w:t xml:space="preserve"> ليؤكّد أنّ الشرق والغرب ليسا كيانين ثابتين أو جوهريين، بل نتاجان خطابيّان تشكّلا داخل أنظمة سلطة ومعرفة. فالذات الغربية الموحدة لا تُبنى إلا من خلال نقيضها المتخيَّل: «الآخر الشرقي» الذي يُصوَّر بوصفه أدنى منزلة وأقل قدرة بطبيعته.</w:t>
      </w:r>
    </w:p>
    <w:p w14:paraId="0610C127" w14:textId="1A614104" w:rsidR="00AF55A8" w:rsidRDefault="00AF55A8" w:rsidP="00AF55A8">
      <w:pPr>
        <w:rPr>
          <w:rFonts w:asciiTheme="majorBidi" w:eastAsia="Calibri" w:hAnsiTheme="majorBidi" w:cstheme="majorBidi"/>
          <w:sz w:val="24"/>
          <w:szCs w:val="24"/>
          <w:rtl/>
        </w:rPr>
      </w:pPr>
    </w:p>
    <w:p w14:paraId="200800EF" w14:textId="6E18996D" w:rsidR="000E0CE7" w:rsidRDefault="000E0CE7" w:rsidP="00AF55A8">
      <w:pPr>
        <w:rPr>
          <w:rFonts w:asciiTheme="majorBidi" w:eastAsia="Calibri" w:hAnsiTheme="majorBidi" w:cstheme="majorBidi"/>
          <w:sz w:val="24"/>
          <w:szCs w:val="24"/>
          <w:rtl/>
        </w:rPr>
      </w:pPr>
    </w:p>
    <w:p w14:paraId="40C2EB2D" w14:textId="10C4EB80" w:rsidR="000E0CE7" w:rsidRDefault="000E0CE7" w:rsidP="00AF55A8">
      <w:pPr>
        <w:rPr>
          <w:rFonts w:asciiTheme="majorBidi" w:eastAsia="Calibri" w:hAnsiTheme="majorBidi" w:cstheme="majorBidi"/>
          <w:sz w:val="24"/>
          <w:szCs w:val="24"/>
          <w:rtl/>
        </w:rPr>
      </w:pPr>
    </w:p>
    <w:p w14:paraId="6D8B5248" w14:textId="14E08A9F" w:rsidR="000E0CE7" w:rsidRDefault="000E0CE7" w:rsidP="00AF55A8">
      <w:pPr>
        <w:rPr>
          <w:rFonts w:asciiTheme="majorBidi" w:eastAsia="Calibri" w:hAnsiTheme="majorBidi" w:cstheme="majorBidi"/>
          <w:sz w:val="24"/>
          <w:szCs w:val="24"/>
          <w:rtl/>
        </w:rPr>
      </w:pPr>
    </w:p>
    <w:p w14:paraId="3054AD7E" w14:textId="77777777" w:rsidR="000E0CE7" w:rsidRDefault="000E0CE7" w:rsidP="000E0CE7">
      <w:pPr>
        <w:spacing w:after="0"/>
        <w:jc w:val="both"/>
        <w:rPr>
          <w:rFonts w:asciiTheme="majorBidi" w:eastAsia="Calibri" w:hAnsiTheme="majorBidi" w:cstheme="majorBidi"/>
          <w:b/>
          <w:bCs/>
          <w:sz w:val="28"/>
          <w:szCs w:val="28"/>
          <w:rtl/>
        </w:rPr>
      </w:pPr>
      <w:r w:rsidRPr="009261A6">
        <w:rPr>
          <w:rFonts w:asciiTheme="majorBidi" w:eastAsia="Calibri" w:hAnsiTheme="majorBidi" w:cs="Times New Roman"/>
          <w:b/>
          <w:bCs/>
          <w:sz w:val="28"/>
          <w:szCs w:val="28"/>
          <w:rtl/>
        </w:rPr>
        <w:t>نقد أحمد، لويس، هاليدي، ومنظّرين آخرين</w:t>
      </w:r>
      <w:r>
        <w:rPr>
          <w:rFonts w:asciiTheme="majorBidi" w:eastAsia="Calibri" w:hAnsiTheme="majorBidi" w:cstheme="majorBidi" w:hint="cs"/>
          <w:b/>
          <w:bCs/>
          <w:sz w:val="28"/>
          <w:szCs w:val="28"/>
          <w:rtl/>
        </w:rPr>
        <w:t>:</w:t>
      </w:r>
    </w:p>
    <w:p w14:paraId="0532AFFC" w14:textId="7454E668" w:rsidR="000E0CE7" w:rsidRDefault="000E0CE7" w:rsidP="00AF55A8">
      <w:pPr>
        <w:rPr>
          <w:rFonts w:asciiTheme="majorBidi" w:eastAsia="Calibri" w:hAnsiTheme="majorBidi" w:cstheme="majorBidi"/>
          <w:sz w:val="24"/>
          <w:szCs w:val="24"/>
          <w:rtl/>
        </w:rPr>
      </w:pPr>
    </w:p>
    <w:p w14:paraId="6D49D927" w14:textId="77777777" w:rsidR="000E0CE7" w:rsidRPr="00444AC5" w:rsidRDefault="000E0CE7" w:rsidP="000E0CE7">
      <w:pPr>
        <w:jc w:val="both"/>
        <w:rPr>
          <w:rFonts w:asciiTheme="majorBidi" w:hAnsiTheme="majorBidi" w:cstheme="majorBidi"/>
          <w:sz w:val="18"/>
          <w:szCs w:val="18"/>
          <w:rtl/>
        </w:rPr>
      </w:pPr>
      <w:r w:rsidRPr="00715EFC">
        <w:rPr>
          <w:rFonts w:asciiTheme="majorBidi" w:hAnsiTheme="majorBidi" w:cstheme="majorBidi"/>
          <w:sz w:val="24"/>
          <w:szCs w:val="24"/>
          <w:rtl/>
        </w:rPr>
        <w:t xml:space="preserve">ينتقد إعجاز أحمد، في </w:t>
      </w:r>
      <w:r w:rsidRPr="000640BB">
        <w:rPr>
          <w:rFonts w:asciiTheme="majorBidi" w:hAnsiTheme="majorBidi" w:cstheme="majorBidi"/>
          <w:i/>
          <w:iCs/>
          <w:sz w:val="24"/>
          <w:szCs w:val="24"/>
          <w:rtl/>
        </w:rPr>
        <w:t xml:space="preserve">مقالته بين الاستشراق </w:t>
      </w:r>
      <w:proofErr w:type="spellStart"/>
      <w:r w:rsidRPr="000640BB">
        <w:rPr>
          <w:rFonts w:asciiTheme="majorBidi" w:hAnsiTheme="majorBidi" w:cstheme="majorBidi"/>
          <w:i/>
          <w:iCs/>
          <w:sz w:val="24"/>
          <w:szCs w:val="24"/>
          <w:rtl/>
        </w:rPr>
        <w:t>والتاريخانية</w:t>
      </w:r>
      <w:proofErr w:type="spellEnd"/>
      <w:r w:rsidRPr="00715EFC">
        <w:rPr>
          <w:rFonts w:asciiTheme="majorBidi" w:hAnsiTheme="majorBidi" w:cstheme="majorBidi"/>
          <w:b/>
          <w:bCs/>
          <w:sz w:val="24"/>
          <w:szCs w:val="24"/>
          <w:rtl/>
          <w:lang w:bidi="fa-IR"/>
        </w:rPr>
        <w:t xml:space="preserve"> </w:t>
      </w:r>
      <w:r w:rsidRPr="000640BB">
        <w:rPr>
          <w:rFonts w:asciiTheme="majorBidi" w:hAnsiTheme="majorBidi" w:cstheme="majorBidi"/>
          <w:i/>
          <w:iCs/>
          <w:sz w:val="24"/>
          <w:szCs w:val="24"/>
          <w:lang w:bidi="fa-IR"/>
        </w:rPr>
        <w:t>(Between Orientalism and Historicism)</w:t>
      </w:r>
      <w:r w:rsidRPr="000640BB">
        <w:rPr>
          <w:rFonts w:asciiTheme="majorBidi" w:hAnsiTheme="majorBidi" w:cstheme="majorBidi"/>
          <w:i/>
          <w:iCs/>
          <w:sz w:val="24"/>
          <w:szCs w:val="24"/>
          <w:rtl/>
        </w:rPr>
        <w:t xml:space="preserve"> </w:t>
      </w:r>
      <w:r w:rsidRPr="00715EFC">
        <w:rPr>
          <w:rFonts w:asciiTheme="majorBidi" w:hAnsiTheme="majorBidi" w:cstheme="majorBidi"/>
          <w:sz w:val="24"/>
          <w:szCs w:val="24"/>
          <w:rtl/>
        </w:rPr>
        <w:t xml:space="preserve">تركيز سعيد على النصوص، ويرى أنّ هذا التركيز «يُيسّر قراءة التاريخ لا انطلاقًا من الإنتاج المادي، بل من أنظمة التمثيل» </w:t>
      </w:r>
      <w:r w:rsidRPr="000640BB">
        <w:rPr>
          <w:rFonts w:asciiTheme="majorBidi" w:hAnsiTheme="majorBidi" w:cstheme="majorBidi"/>
          <w:i/>
          <w:iCs/>
          <w:rtl/>
        </w:rPr>
        <w:t>(</w:t>
      </w:r>
      <w:proofErr w:type="spellStart"/>
      <w:r w:rsidRPr="000640BB">
        <w:rPr>
          <w:rFonts w:asciiTheme="majorBidi" w:hAnsiTheme="majorBidi" w:cstheme="majorBidi"/>
          <w:i/>
          <w:iCs/>
          <w:rtl/>
        </w:rPr>
        <w:t>ماكفي</w:t>
      </w:r>
      <w:proofErr w:type="spellEnd"/>
      <w:r w:rsidRPr="000640BB">
        <w:rPr>
          <w:rFonts w:asciiTheme="majorBidi" w:hAnsiTheme="majorBidi" w:cstheme="majorBidi"/>
          <w:i/>
          <w:iCs/>
          <w:rtl/>
        </w:rPr>
        <w:t>، 2000: 285).</w:t>
      </w:r>
      <w:r w:rsidRPr="000640BB">
        <w:rPr>
          <w:rFonts w:asciiTheme="majorBidi" w:hAnsiTheme="majorBidi" w:cstheme="majorBidi"/>
          <w:rtl/>
        </w:rPr>
        <w:t xml:space="preserve"> </w:t>
      </w:r>
    </w:p>
    <w:p w14:paraId="451CA0EF" w14:textId="77777777" w:rsidR="000E0CE7" w:rsidRPr="00715EFC" w:rsidRDefault="000E0CE7" w:rsidP="000E0CE7">
      <w:pPr>
        <w:spacing w:after="0"/>
        <w:jc w:val="both"/>
        <w:rPr>
          <w:rFonts w:asciiTheme="majorBidi" w:hAnsiTheme="majorBidi" w:cstheme="majorBidi"/>
          <w:sz w:val="24"/>
          <w:szCs w:val="24"/>
        </w:rPr>
      </w:pPr>
      <w:r w:rsidRPr="00715EFC">
        <w:rPr>
          <w:rFonts w:asciiTheme="majorBidi" w:hAnsiTheme="majorBidi" w:cstheme="majorBidi"/>
          <w:sz w:val="24"/>
          <w:szCs w:val="24"/>
          <w:rtl/>
        </w:rPr>
        <w:t>ووفقًا لأحمد، فإنّ تصور سعيد للاستشراق غير تاريخي لسببين رئيسين:</w:t>
      </w:r>
    </w:p>
    <w:p w14:paraId="7656BCB9" w14:textId="77777777" w:rsidR="000E0CE7" w:rsidRPr="00444AC5" w:rsidRDefault="000E0CE7" w:rsidP="000E0CE7">
      <w:pPr>
        <w:spacing w:after="0"/>
        <w:jc w:val="both"/>
        <w:rPr>
          <w:rFonts w:asciiTheme="majorBidi" w:hAnsiTheme="majorBidi" w:cstheme="majorBidi"/>
          <w:sz w:val="24"/>
          <w:szCs w:val="24"/>
          <w:rtl/>
          <w:lang w:bidi="fa-IR"/>
        </w:rPr>
      </w:pPr>
      <w:r w:rsidRPr="00444AC5">
        <w:rPr>
          <w:rFonts w:asciiTheme="majorBidi" w:hAnsiTheme="majorBidi" w:cstheme="majorBidi"/>
          <w:b/>
          <w:bCs/>
          <w:sz w:val="24"/>
          <w:szCs w:val="24"/>
          <w:rtl/>
          <w:lang w:bidi="fa-IR"/>
        </w:rPr>
        <w:t>أولًا:</w:t>
      </w:r>
      <w:r w:rsidRPr="00444AC5">
        <w:rPr>
          <w:rFonts w:asciiTheme="majorBidi" w:hAnsiTheme="majorBidi" w:cstheme="majorBidi"/>
          <w:sz w:val="24"/>
          <w:szCs w:val="24"/>
          <w:rtl/>
          <w:lang w:bidi="fa-IR"/>
        </w:rPr>
        <w:t xml:space="preserve"> اعتماده فهمًا غير مادي وغير خطي للتاريخ؛</w:t>
      </w:r>
    </w:p>
    <w:p w14:paraId="7893057B" w14:textId="77777777" w:rsidR="000E0CE7" w:rsidRDefault="000E0CE7" w:rsidP="000E0CE7">
      <w:pPr>
        <w:spacing w:after="0"/>
        <w:jc w:val="both"/>
        <w:rPr>
          <w:rFonts w:asciiTheme="majorBidi" w:hAnsiTheme="majorBidi" w:cstheme="majorBidi"/>
          <w:sz w:val="24"/>
          <w:szCs w:val="24"/>
          <w:rtl/>
        </w:rPr>
      </w:pPr>
      <w:r w:rsidRPr="00444AC5">
        <w:rPr>
          <w:rFonts w:asciiTheme="majorBidi" w:hAnsiTheme="majorBidi" w:cstheme="majorBidi"/>
          <w:b/>
          <w:bCs/>
          <w:sz w:val="24"/>
          <w:szCs w:val="24"/>
          <w:rtl/>
        </w:rPr>
        <w:t>وثانيًا:</w:t>
      </w:r>
      <w:r w:rsidRPr="00444AC5">
        <w:rPr>
          <w:rFonts w:asciiTheme="majorBidi" w:hAnsiTheme="majorBidi" w:cstheme="majorBidi"/>
          <w:sz w:val="24"/>
          <w:szCs w:val="24"/>
          <w:rtl/>
        </w:rPr>
        <w:t xml:space="preserve"> أنّ سعيد</w:t>
      </w:r>
      <w:r>
        <w:rPr>
          <w:rFonts w:asciiTheme="majorBidi" w:hAnsiTheme="majorBidi" w:cstheme="majorBidi" w:hint="cs"/>
          <w:sz w:val="24"/>
          <w:szCs w:val="24"/>
          <w:rtl/>
        </w:rPr>
        <w:t xml:space="preserve">، </w:t>
      </w:r>
      <w:r w:rsidRPr="00444AC5">
        <w:rPr>
          <w:rFonts w:asciiTheme="majorBidi" w:hAnsiTheme="majorBidi" w:cstheme="majorBidi"/>
          <w:sz w:val="24"/>
          <w:szCs w:val="24"/>
          <w:rtl/>
        </w:rPr>
        <w:t>حتى إذا قُبلت أطروحته جدلًا</w:t>
      </w:r>
      <w:r>
        <w:rPr>
          <w:rFonts w:asciiTheme="majorBidi" w:hAnsiTheme="majorBidi" w:cstheme="majorBidi" w:hint="cs"/>
          <w:sz w:val="24"/>
          <w:szCs w:val="24"/>
          <w:rtl/>
        </w:rPr>
        <w:t xml:space="preserve">، </w:t>
      </w:r>
      <w:r w:rsidRPr="00444AC5">
        <w:rPr>
          <w:rFonts w:asciiTheme="majorBidi" w:hAnsiTheme="majorBidi" w:cstheme="majorBidi"/>
          <w:sz w:val="24"/>
          <w:szCs w:val="24"/>
          <w:rtl/>
        </w:rPr>
        <w:t>يُعرّف موضوع دراسته بطريقة تجعل عناصره غير متوافقة فيما بينها.</w:t>
      </w:r>
    </w:p>
    <w:p w14:paraId="3B463EB0" w14:textId="77777777" w:rsidR="000E0CE7" w:rsidRDefault="000E0CE7" w:rsidP="000E0CE7">
      <w:pPr>
        <w:spacing w:before="240"/>
        <w:jc w:val="both"/>
        <w:rPr>
          <w:rFonts w:asciiTheme="majorBidi" w:hAnsiTheme="majorBidi" w:cstheme="majorBidi"/>
          <w:sz w:val="24"/>
          <w:szCs w:val="24"/>
          <w:rtl/>
        </w:rPr>
      </w:pPr>
      <w:r w:rsidRPr="00775D02">
        <w:rPr>
          <w:rFonts w:asciiTheme="majorBidi" w:hAnsiTheme="majorBidi" w:cstheme="majorBidi"/>
          <w:sz w:val="24"/>
          <w:szCs w:val="24"/>
          <w:rtl/>
        </w:rPr>
        <w:t xml:space="preserve">ويكمن التناقض الذي يشير إليه أحمد في الجمع بين تعريفات سعيد العامة والخاصة للاستشراق؛ إذ يضع سعيد نقطتي بداية مختلفتين للتقليد الذي يدرسه: إحداهما تعود تقريبًا إلى أواخر القرن الثامن عشر، والأخرى تمتد إلى العصور الأوروبية القديمة مع الإلياذة لهوميروس والفرس </w:t>
      </w:r>
      <w:proofErr w:type="spellStart"/>
      <w:r w:rsidRPr="00775D02">
        <w:rPr>
          <w:rFonts w:asciiTheme="majorBidi" w:hAnsiTheme="majorBidi" w:cstheme="majorBidi"/>
          <w:sz w:val="24"/>
          <w:szCs w:val="24"/>
          <w:rtl/>
        </w:rPr>
        <w:t>لإسخيلوس</w:t>
      </w:r>
      <w:proofErr w:type="spellEnd"/>
      <w:r w:rsidRPr="00775D02">
        <w:rPr>
          <w:rFonts w:asciiTheme="majorBidi" w:hAnsiTheme="majorBidi" w:cstheme="majorBidi"/>
          <w:sz w:val="24"/>
          <w:szCs w:val="24"/>
          <w:rtl/>
        </w:rPr>
        <w:t xml:space="preserve"> </w:t>
      </w:r>
      <w:r w:rsidRPr="000640BB">
        <w:rPr>
          <w:rFonts w:asciiTheme="majorBidi" w:hAnsiTheme="majorBidi" w:cstheme="majorBidi"/>
          <w:i/>
          <w:iCs/>
          <w:rtl/>
        </w:rPr>
        <w:t>(أحمد، 2000: 287–288).</w:t>
      </w:r>
      <w:r w:rsidRPr="000640BB">
        <w:rPr>
          <w:rFonts w:asciiTheme="majorBidi" w:hAnsiTheme="majorBidi" w:cstheme="majorBidi"/>
          <w:rtl/>
        </w:rPr>
        <w:t xml:space="preserve"> </w:t>
      </w:r>
      <w:r w:rsidRPr="00775D02">
        <w:rPr>
          <w:rFonts w:asciiTheme="majorBidi" w:hAnsiTheme="majorBidi" w:cstheme="majorBidi"/>
          <w:sz w:val="24"/>
          <w:szCs w:val="24"/>
          <w:rtl/>
        </w:rPr>
        <w:t xml:space="preserve">ويرى أحمد أنّ هذا التوسّع الزمني يُظهر توتّرًا بين النزعة الإنسانية في قراءة التاريخ، من جهة، والتأثير </w:t>
      </w:r>
      <w:proofErr w:type="spellStart"/>
      <w:r w:rsidRPr="00775D02">
        <w:rPr>
          <w:rFonts w:asciiTheme="majorBidi" w:hAnsiTheme="majorBidi" w:cstheme="majorBidi"/>
          <w:sz w:val="24"/>
          <w:szCs w:val="24"/>
          <w:rtl/>
        </w:rPr>
        <w:t>الفوكوي</w:t>
      </w:r>
      <w:proofErr w:type="spellEnd"/>
      <w:r w:rsidRPr="00775D02">
        <w:rPr>
          <w:rFonts w:asciiTheme="majorBidi" w:hAnsiTheme="majorBidi" w:cstheme="majorBidi"/>
          <w:sz w:val="24"/>
          <w:szCs w:val="24"/>
          <w:rtl/>
        </w:rPr>
        <w:t xml:space="preserve"> المناهض للإنسانية، من جهة أخرى، ما يدفع سعيد إلى </w:t>
      </w:r>
      <w:r w:rsidRPr="000640BB">
        <w:rPr>
          <w:rFonts w:asciiTheme="majorBidi" w:hAnsiTheme="majorBidi" w:cstheme="majorBidi"/>
          <w:sz w:val="24"/>
          <w:szCs w:val="24"/>
          <w:rtl/>
        </w:rPr>
        <w:t>«احتلال مواقع نظرية متناقضة في آن واحد»</w:t>
      </w:r>
      <w:r w:rsidRPr="00BA364E">
        <w:rPr>
          <w:rFonts w:asciiTheme="majorBidi" w:hAnsiTheme="majorBidi" w:cstheme="majorBidi"/>
          <w:b/>
          <w:bCs/>
          <w:sz w:val="24"/>
          <w:szCs w:val="24"/>
          <w:rtl/>
        </w:rPr>
        <w:t xml:space="preserve"> </w:t>
      </w:r>
      <w:r w:rsidRPr="000640BB">
        <w:rPr>
          <w:rFonts w:asciiTheme="majorBidi" w:hAnsiTheme="majorBidi" w:cstheme="majorBidi"/>
          <w:i/>
          <w:iCs/>
          <w:rtl/>
        </w:rPr>
        <w:t>(</w:t>
      </w:r>
      <w:proofErr w:type="spellStart"/>
      <w:r w:rsidRPr="000640BB">
        <w:rPr>
          <w:rFonts w:asciiTheme="majorBidi" w:hAnsiTheme="majorBidi" w:cstheme="majorBidi"/>
          <w:i/>
          <w:iCs/>
          <w:rtl/>
        </w:rPr>
        <w:t>ماكفي</w:t>
      </w:r>
      <w:proofErr w:type="spellEnd"/>
      <w:r w:rsidRPr="000640BB">
        <w:rPr>
          <w:rFonts w:asciiTheme="majorBidi" w:hAnsiTheme="majorBidi" w:cstheme="majorBidi"/>
          <w:i/>
          <w:iCs/>
          <w:rtl/>
        </w:rPr>
        <w:t>، 2000: 285).</w:t>
      </w:r>
    </w:p>
    <w:p w14:paraId="10DFBB49" w14:textId="77777777" w:rsidR="000E0CE7" w:rsidRPr="00BA364E" w:rsidRDefault="000E0CE7" w:rsidP="000E0CE7">
      <w:pPr>
        <w:jc w:val="both"/>
        <w:rPr>
          <w:rFonts w:ascii="Times New Roman" w:hAnsi="Times New Roman" w:cs="Times New Roman"/>
          <w:sz w:val="24"/>
          <w:szCs w:val="24"/>
        </w:rPr>
      </w:pPr>
      <w:r w:rsidRPr="00BA364E">
        <w:rPr>
          <w:rFonts w:ascii="Times New Roman" w:hAnsi="Times New Roman" w:cs="Times New Roman"/>
          <w:sz w:val="24"/>
          <w:szCs w:val="24"/>
          <w:rtl/>
        </w:rPr>
        <w:t xml:space="preserve">ومع ذلك، يُظهر طرح أحمد تمسّكه الصارم بنمط معيّن من المعرفة التاريخية، وهو النمط السائد في </w:t>
      </w:r>
      <w:proofErr w:type="spellStart"/>
      <w:r w:rsidRPr="00BA364E">
        <w:rPr>
          <w:rFonts w:ascii="Times New Roman" w:hAnsi="Times New Roman" w:cs="Times New Roman"/>
          <w:sz w:val="24"/>
          <w:szCs w:val="24"/>
          <w:rtl/>
        </w:rPr>
        <w:t>الأكاديميا</w:t>
      </w:r>
      <w:proofErr w:type="spellEnd"/>
      <w:r w:rsidRPr="00BA364E">
        <w:rPr>
          <w:rFonts w:ascii="Times New Roman" w:hAnsi="Times New Roman" w:cs="Times New Roman"/>
          <w:sz w:val="24"/>
          <w:szCs w:val="24"/>
          <w:rtl/>
        </w:rPr>
        <w:t xml:space="preserve"> الغربية. فهو يمنح الأسبقية لما يسمّيه </w:t>
      </w:r>
      <w:r w:rsidRPr="000640BB">
        <w:rPr>
          <w:rFonts w:ascii="Times New Roman" w:hAnsi="Times New Roman" w:cs="Times New Roman"/>
          <w:sz w:val="24"/>
          <w:szCs w:val="24"/>
          <w:rtl/>
        </w:rPr>
        <w:t>«الأرشيف المعرفي الغربي»،</w:t>
      </w:r>
      <w:r w:rsidRPr="00BA364E">
        <w:rPr>
          <w:rFonts w:ascii="Times New Roman" w:hAnsi="Times New Roman" w:cs="Times New Roman"/>
          <w:sz w:val="24"/>
          <w:szCs w:val="24"/>
          <w:rtl/>
        </w:rPr>
        <w:t xml:space="preserve"> أي التاريخ المكتوب في الغرب، بوصفه السردية الأساسية التي يجب أن تسبق أي تحليل خطابي. ومن ثمّ، يرى أنّ سعيد يستخدم مفهوم الخطاب دفاعًا عن موقفه المناهض للتمثيل الغربي للتاريخ الشرقي.</w:t>
      </w:r>
    </w:p>
    <w:p w14:paraId="72208EB9" w14:textId="77777777" w:rsidR="000E0CE7" w:rsidRDefault="000E0CE7" w:rsidP="000E0CE7">
      <w:pPr>
        <w:jc w:val="both"/>
        <w:rPr>
          <w:rFonts w:asciiTheme="majorBidi" w:hAnsiTheme="majorBidi" w:cstheme="majorBidi"/>
          <w:sz w:val="24"/>
          <w:szCs w:val="24"/>
          <w:rtl/>
        </w:rPr>
      </w:pPr>
      <w:r w:rsidRPr="00BA364E">
        <w:rPr>
          <w:rFonts w:asciiTheme="majorBidi" w:hAnsiTheme="majorBidi" w:cstheme="majorBidi"/>
          <w:sz w:val="24"/>
          <w:szCs w:val="24"/>
          <w:rtl/>
        </w:rPr>
        <w:t xml:space="preserve">أمّا برنارد لويس، ففي كتابه </w:t>
      </w:r>
      <w:r w:rsidRPr="000640BB">
        <w:rPr>
          <w:rFonts w:asciiTheme="majorBidi" w:hAnsiTheme="majorBidi" w:cstheme="majorBidi"/>
          <w:sz w:val="24"/>
          <w:szCs w:val="24"/>
          <w:rtl/>
        </w:rPr>
        <w:t>الإسلام والغرب</w:t>
      </w:r>
      <w:r w:rsidRPr="00BA364E">
        <w:rPr>
          <w:rFonts w:asciiTheme="majorBidi" w:hAnsiTheme="majorBidi" w:cstheme="majorBidi"/>
          <w:sz w:val="24"/>
          <w:szCs w:val="24"/>
          <w:rtl/>
        </w:rPr>
        <w:t xml:space="preserve"> </w:t>
      </w:r>
      <w:r w:rsidRPr="00BA364E">
        <w:rPr>
          <w:rFonts w:asciiTheme="majorBidi" w:hAnsiTheme="majorBidi" w:cstheme="majorBidi"/>
          <w:sz w:val="24"/>
          <w:szCs w:val="24"/>
          <w:lang w:bidi="fa-IR"/>
        </w:rPr>
        <w:t>(1993)</w:t>
      </w:r>
      <w:r w:rsidRPr="00BA364E">
        <w:rPr>
          <w:rFonts w:asciiTheme="majorBidi" w:hAnsiTheme="majorBidi" w:cstheme="majorBidi"/>
          <w:sz w:val="24"/>
          <w:szCs w:val="24"/>
          <w:rtl/>
        </w:rPr>
        <w:t xml:space="preserve">، فيرفض نقد الاستشراق بوصفه تخصّصًا أكاديميًا كاملًا، ويرى أنّ </w:t>
      </w:r>
      <w:r w:rsidRPr="000640BB">
        <w:rPr>
          <w:rFonts w:asciiTheme="majorBidi" w:hAnsiTheme="majorBidi" w:cstheme="majorBidi"/>
          <w:sz w:val="24"/>
          <w:szCs w:val="24"/>
          <w:rtl/>
        </w:rPr>
        <w:t>«أدقّ وأعمق نقد للاستشراق، كما لأيّ حقل معرفي آخر، لا يمكن أن يصدر إلا عن زملاء يعملون في الحقل نفسه»</w:t>
      </w:r>
      <w:r w:rsidRPr="00BA364E">
        <w:rPr>
          <w:rFonts w:asciiTheme="majorBidi" w:hAnsiTheme="majorBidi" w:cstheme="majorBidi"/>
          <w:sz w:val="24"/>
          <w:szCs w:val="24"/>
          <w:rtl/>
        </w:rPr>
        <w:t xml:space="preserve"> </w:t>
      </w:r>
      <w:r w:rsidRPr="005C2883">
        <w:rPr>
          <w:rFonts w:asciiTheme="majorBidi" w:hAnsiTheme="majorBidi" w:cstheme="majorBidi"/>
          <w:i/>
          <w:iCs/>
          <w:rtl/>
        </w:rPr>
        <w:t>(لويس، 1993: 268).</w:t>
      </w:r>
      <w:r w:rsidRPr="00BA364E">
        <w:rPr>
          <w:rFonts w:asciiTheme="majorBidi" w:hAnsiTheme="majorBidi" w:cstheme="majorBidi"/>
          <w:sz w:val="24"/>
          <w:szCs w:val="24"/>
          <w:rtl/>
        </w:rPr>
        <w:t xml:space="preserve"> وبناءً على هذا المنطق، يستبعد لويس إدوارد سعيد من دائرة </w:t>
      </w:r>
      <w:r w:rsidRPr="000640BB">
        <w:rPr>
          <w:rFonts w:asciiTheme="majorBidi" w:hAnsiTheme="majorBidi" w:cstheme="majorBidi"/>
          <w:sz w:val="24"/>
          <w:szCs w:val="24"/>
          <w:rtl/>
        </w:rPr>
        <w:t xml:space="preserve">«العلماء» </w:t>
      </w:r>
      <w:r w:rsidRPr="00BA364E">
        <w:rPr>
          <w:rFonts w:asciiTheme="majorBidi" w:hAnsiTheme="majorBidi" w:cstheme="majorBidi"/>
          <w:sz w:val="24"/>
          <w:szCs w:val="24"/>
          <w:rtl/>
        </w:rPr>
        <w:t xml:space="preserve">المؤهّلين، ويرفض كذلك الانتقادات الماركسية غير الصادرة عن مستشرقين، بحجّة افتقار أصحابها إلى </w:t>
      </w:r>
      <w:r w:rsidRPr="000640BB">
        <w:rPr>
          <w:rFonts w:asciiTheme="majorBidi" w:hAnsiTheme="majorBidi" w:cstheme="majorBidi"/>
          <w:sz w:val="24"/>
          <w:szCs w:val="24"/>
          <w:rtl/>
        </w:rPr>
        <w:t>«المهارات الاستشراقية»</w:t>
      </w:r>
      <w:r w:rsidRPr="00BA364E">
        <w:rPr>
          <w:rFonts w:asciiTheme="majorBidi" w:hAnsiTheme="majorBidi" w:cstheme="majorBidi"/>
          <w:sz w:val="24"/>
          <w:szCs w:val="24"/>
          <w:rtl/>
        </w:rPr>
        <w:t xml:space="preserve"> اللازمة.</w:t>
      </w:r>
    </w:p>
    <w:p w14:paraId="661039AE" w14:textId="77777777" w:rsidR="000E0CE7" w:rsidRPr="00C448BC" w:rsidRDefault="000E0CE7" w:rsidP="000E0CE7">
      <w:pPr>
        <w:jc w:val="both"/>
        <w:rPr>
          <w:rFonts w:asciiTheme="majorBidi" w:hAnsiTheme="majorBidi" w:cstheme="majorBidi"/>
          <w:sz w:val="24"/>
          <w:szCs w:val="24"/>
        </w:rPr>
      </w:pPr>
      <w:r w:rsidRPr="00C448BC">
        <w:rPr>
          <w:rFonts w:asciiTheme="majorBidi" w:hAnsiTheme="majorBidi" w:cstheme="majorBidi"/>
          <w:sz w:val="24"/>
          <w:szCs w:val="24"/>
          <w:rtl/>
        </w:rPr>
        <w:t>ويتمثّل جزء كبير من هجوم لويس على سعيد في تعداد ما يعدّه أخطاءً تاريخية، مثل تأريخ ظهور الدراسات العربية في فرنسا، أو تجاهل الإسهامات الألمانية في الاستشراق. غير أنّ هذا الموقف يكشف إصرار لويس على حماية موقع المستشرق بوصفه صاحب السلطة المعرفية الشرعية الوحيدة للحديث عن الشرق.</w:t>
      </w:r>
    </w:p>
    <w:p w14:paraId="1781A666" w14:textId="77777777" w:rsidR="000E0CE7" w:rsidRDefault="000E0CE7" w:rsidP="000E0CE7">
      <w:pPr>
        <w:jc w:val="both"/>
        <w:rPr>
          <w:rFonts w:asciiTheme="majorBidi" w:hAnsiTheme="majorBidi" w:cstheme="majorBidi"/>
          <w:sz w:val="24"/>
          <w:szCs w:val="24"/>
          <w:rtl/>
        </w:rPr>
      </w:pPr>
      <w:r w:rsidRPr="00C448BC">
        <w:rPr>
          <w:rFonts w:asciiTheme="majorBidi" w:hAnsiTheme="majorBidi" w:cstheme="majorBidi"/>
          <w:sz w:val="24"/>
          <w:szCs w:val="24"/>
          <w:rtl/>
        </w:rPr>
        <w:t xml:space="preserve">من جانبه، يرى فِرِد هاليدي، في مقاله </w:t>
      </w:r>
      <w:r w:rsidRPr="005C2883">
        <w:rPr>
          <w:rFonts w:asciiTheme="majorBidi" w:hAnsiTheme="majorBidi" w:cstheme="majorBidi"/>
          <w:i/>
          <w:iCs/>
          <w:sz w:val="24"/>
          <w:szCs w:val="24"/>
          <w:rtl/>
        </w:rPr>
        <w:t>الاستشراق وأزمته</w:t>
      </w:r>
      <w:r w:rsidRPr="005C2883">
        <w:rPr>
          <w:rFonts w:asciiTheme="majorBidi" w:hAnsiTheme="majorBidi" w:cstheme="majorBidi"/>
          <w:i/>
          <w:iCs/>
          <w:sz w:val="24"/>
          <w:szCs w:val="24"/>
          <w:lang w:bidi="fa-IR"/>
        </w:rPr>
        <w:t xml:space="preserve"> (Orientalism and Its Crisis)</w:t>
      </w:r>
      <w:r w:rsidRPr="005C2883">
        <w:rPr>
          <w:rFonts w:asciiTheme="majorBidi" w:hAnsiTheme="majorBidi" w:cstheme="majorBidi"/>
          <w:i/>
          <w:iCs/>
          <w:sz w:val="24"/>
          <w:szCs w:val="24"/>
          <w:rtl/>
        </w:rPr>
        <w:t>،</w:t>
      </w:r>
      <w:r w:rsidRPr="00C448BC">
        <w:rPr>
          <w:rFonts w:asciiTheme="majorBidi" w:hAnsiTheme="majorBidi" w:cstheme="majorBidi"/>
          <w:sz w:val="24"/>
          <w:szCs w:val="24"/>
          <w:rtl/>
        </w:rPr>
        <w:t xml:space="preserve"> أنّ سعيد يتمسّك بنظرة تاريخية كلاسيكية تفترض وجود حقائق موضوعية و</w:t>
      </w:r>
      <w:r w:rsidRPr="006A11AC">
        <w:rPr>
          <w:rFonts w:asciiTheme="majorBidi" w:hAnsiTheme="majorBidi" w:cstheme="majorBidi"/>
          <w:sz w:val="24"/>
          <w:szCs w:val="24"/>
          <w:rtl/>
        </w:rPr>
        <w:t>«شرقيين حقيقيين»،</w:t>
      </w:r>
      <w:r w:rsidRPr="00C448BC">
        <w:rPr>
          <w:rFonts w:asciiTheme="majorBidi" w:hAnsiTheme="majorBidi" w:cstheme="majorBidi"/>
          <w:sz w:val="24"/>
          <w:szCs w:val="24"/>
          <w:rtl/>
        </w:rPr>
        <w:t xml:space="preserve"> وأنّ مهمة المستشرق هي اكتشاف هذه الحقائق وتمثيلها. ويجادل هاليدي بأنّ رفض المعرفة لمجرّد إنتاجها داخل سياق إمبريالي أمر غير مبرّر، مشبّهًا ذلك بالحاجة إلى خريطة دقيقة لتنفيذ عملية سرقة بنك</w:t>
      </w:r>
      <w:r>
        <w:rPr>
          <w:rFonts w:asciiTheme="majorBidi" w:hAnsiTheme="majorBidi" w:cstheme="majorBidi" w:hint="cs"/>
          <w:sz w:val="24"/>
          <w:szCs w:val="24"/>
          <w:rtl/>
        </w:rPr>
        <w:t xml:space="preserve">، </w:t>
      </w:r>
      <w:r w:rsidRPr="00C448BC">
        <w:rPr>
          <w:rFonts w:asciiTheme="majorBidi" w:hAnsiTheme="majorBidi" w:cstheme="majorBidi"/>
          <w:sz w:val="24"/>
          <w:szCs w:val="24"/>
          <w:rtl/>
        </w:rPr>
        <w:t>أي أنّ المعرفة تظل ضرورية بغضّ النظر عن سياقها.</w:t>
      </w:r>
    </w:p>
    <w:p w14:paraId="63D956E4" w14:textId="77777777" w:rsidR="000E0CE7" w:rsidRDefault="000E0CE7" w:rsidP="000E0CE7">
      <w:pPr>
        <w:jc w:val="both"/>
        <w:rPr>
          <w:rFonts w:asciiTheme="majorBidi" w:hAnsiTheme="majorBidi" w:cstheme="majorBidi"/>
          <w:sz w:val="24"/>
          <w:szCs w:val="24"/>
          <w:rtl/>
        </w:rPr>
      </w:pPr>
      <w:r w:rsidRPr="00C448BC">
        <w:rPr>
          <w:rFonts w:asciiTheme="majorBidi" w:hAnsiTheme="majorBidi" w:cstheme="majorBidi"/>
          <w:sz w:val="24"/>
          <w:szCs w:val="24"/>
          <w:rtl/>
        </w:rPr>
        <w:t xml:space="preserve">غير أنّ هذا الطرح، كما يبيّن المقال، يخلط بين المعرفة الجغرافية أو الإحصائية بوصفها بيانات علمية، وبين الأساليب الخطابية والتمثيلية التي تُبنى من خلالها هويات </w:t>
      </w:r>
      <w:r w:rsidRPr="005627F0">
        <w:rPr>
          <w:rFonts w:asciiTheme="majorBidi" w:hAnsiTheme="majorBidi" w:cstheme="majorBidi"/>
          <w:sz w:val="24"/>
          <w:szCs w:val="24"/>
          <w:rtl/>
        </w:rPr>
        <w:t>«الذات» و«الآخر»</w:t>
      </w:r>
      <w:r w:rsidRPr="00C448BC">
        <w:rPr>
          <w:rFonts w:asciiTheme="majorBidi" w:hAnsiTheme="majorBidi" w:cstheme="majorBidi"/>
          <w:sz w:val="24"/>
          <w:szCs w:val="24"/>
          <w:rtl/>
        </w:rPr>
        <w:t xml:space="preserve"> مسبقًا. فسعيد لا يُدين المعرفة اللغوية أو العلمية بحد ذاتها، بل ينتقد تحوّل سلطة العالِم، بفعل لقبه الأكاديمي، إلى مصدر للحقيقة المطلقة التي تُستخدم لتبرير الاستعمار بوصفه </w:t>
      </w:r>
      <w:r w:rsidRPr="005627F0">
        <w:rPr>
          <w:rFonts w:asciiTheme="majorBidi" w:hAnsiTheme="majorBidi" w:cstheme="majorBidi"/>
          <w:sz w:val="24"/>
          <w:szCs w:val="24"/>
          <w:rtl/>
        </w:rPr>
        <w:t>«مهمة حضارية».</w:t>
      </w:r>
    </w:p>
    <w:p w14:paraId="781816B8" w14:textId="79EDA1B6" w:rsidR="000E0CE7" w:rsidRDefault="000E0CE7" w:rsidP="00AF55A8">
      <w:pPr>
        <w:rPr>
          <w:rFonts w:asciiTheme="majorBidi" w:eastAsia="Calibri" w:hAnsiTheme="majorBidi" w:cstheme="majorBidi"/>
          <w:sz w:val="24"/>
          <w:szCs w:val="24"/>
          <w:rtl/>
        </w:rPr>
      </w:pPr>
    </w:p>
    <w:p w14:paraId="2C61AFB1" w14:textId="3A9DD46B" w:rsidR="000E0CE7" w:rsidRDefault="000E0CE7" w:rsidP="00AF55A8">
      <w:pPr>
        <w:rPr>
          <w:rFonts w:asciiTheme="majorBidi" w:eastAsia="Calibri" w:hAnsiTheme="majorBidi" w:cstheme="majorBidi"/>
          <w:sz w:val="24"/>
          <w:szCs w:val="24"/>
          <w:rtl/>
        </w:rPr>
      </w:pPr>
    </w:p>
    <w:p w14:paraId="53EAF2C6" w14:textId="777070F7" w:rsidR="000E0CE7" w:rsidRDefault="000E0CE7" w:rsidP="00AF55A8">
      <w:pPr>
        <w:rPr>
          <w:rFonts w:asciiTheme="majorBidi" w:eastAsia="Calibri" w:hAnsiTheme="majorBidi" w:cstheme="majorBidi"/>
          <w:sz w:val="24"/>
          <w:szCs w:val="24"/>
          <w:rtl/>
        </w:rPr>
      </w:pPr>
    </w:p>
    <w:p w14:paraId="2FAAA82C" w14:textId="41025DF3" w:rsidR="000E0CE7" w:rsidRDefault="000E0CE7" w:rsidP="00AF55A8">
      <w:pPr>
        <w:rPr>
          <w:rFonts w:asciiTheme="majorBidi" w:eastAsia="Calibri" w:hAnsiTheme="majorBidi" w:cstheme="majorBidi"/>
          <w:sz w:val="24"/>
          <w:szCs w:val="24"/>
          <w:rtl/>
        </w:rPr>
      </w:pPr>
    </w:p>
    <w:p w14:paraId="12DB1570" w14:textId="79D21B36" w:rsidR="000E0CE7" w:rsidRDefault="000E0CE7" w:rsidP="00AF55A8">
      <w:pPr>
        <w:rPr>
          <w:rFonts w:asciiTheme="majorBidi" w:eastAsia="Calibri" w:hAnsiTheme="majorBidi" w:cstheme="majorBidi"/>
          <w:sz w:val="24"/>
          <w:szCs w:val="24"/>
          <w:rtl/>
        </w:rPr>
      </w:pPr>
    </w:p>
    <w:p w14:paraId="0C6AE94C" w14:textId="7C84B3B1" w:rsidR="000E0CE7" w:rsidRDefault="000E0CE7" w:rsidP="00AF55A8">
      <w:pPr>
        <w:rPr>
          <w:rFonts w:asciiTheme="majorBidi" w:eastAsia="Calibri" w:hAnsiTheme="majorBidi" w:cstheme="majorBidi"/>
          <w:sz w:val="24"/>
          <w:szCs w:val="24"/>
          <w:rtl/>
        </w:rPr>
      </w:pPr>
    </w:p>
    <w:p w14:paraId="09EE7827" w14:textId="1C84248C" w:rsidR="000E0CE7" w:rsidRDefault="000E0CE7" w:rsidP="00AF55A8">
      <w:pPr>
        <w:rPr>
          <w:rFonts w:asciiTheme="majorBidi" w:eastAsia="Calibri" w:hAnsiTheme="majorBidi" w:cstheme="majorBidi"/>
          <w:sz w:val="24"/>
          <w:szCs w:val="24"/>
          <w:rtl/>
        </w:rPr>
      </w:pPr>
    </w:p>
    <w:p w14:paraId="1D175B0F" w14:textId="240D0BD1" w:rsidR="000E0CE7" w:rsidRDefault="000E0CE7" w:rsidP="00AF55A8">
      <w:pPr>
        <w:rPr>
          <w:rFonts w:asciiTheme="majorBidi" w:eastAsia="Calibri" w:hAnsiTheme="majorBidi" w:cstheme="majorBidi"/>
          <w:sz w:val="24"/>
          <w:szCs w:val="24"/>
          <w:rtl/>
        </w:rPr>
      </w:pPr>
    </w:p>
    <w:p w14:paraId="238B21B3" w14:textId="2B98A286" w:rsidR="000E0CE7" w:rsidRDefault="000E0CE7" w:rsidP="00AF55A8">
      <w:pPr>
        <w:rPr>
          <w:rFonts w:asciiTheme="majorBidi" w:eastAsia="Calibri" w:hAnsiTheme="majorBidi" w:cstheme="majorBidi"/>
          <w:sz w:val="24"/>
          <w:szCs w:val="24"/>
          <w:rtl/>
        </w:rPr>
      </w:pPr>
    </w:p>
    <w:p w14:paraId="199FC7FF" w14:textId="04A6A0D4" w:rsidR="000E0CE7" w:rsidRDefault="00FB08C8" w:rsidP="000E0CE7">
      <w:pPr>
        <w:jc w:val="center"/>
        <w:rPr>
          <w:rFonts w:asciiTheme="majorBidi" w:eastAsia="Calibri" w:hAnsiTheme="majorBidi" w:cs="Times New Roman"/>
          <w:b/>
          <w:bCs/>
          <w:sz w:val="32"/>
          <w:szCs w:val="32"/>
          <w:rtl/>
        </w:rPr>
      </w:pPr>
      <w:r>
        <w:rPr>
          <w:rFonts w:asciiTheme="majorBidi" w:eastAsia="Calibri" w:hAnsiTheme="majorBidi" w:cs="Times New Roman" w:hint="cs"/>
          <w:b/>
          <w:bCs/>
          <w:sz w:val="32"/>
          <w:szCs w:val="32"/>
          <w:rtl/>
        </w:rPr>
        <w:t xml:space="preserve">جدلية الأنساب التاريخية في الخطاب </w:t>
      </w:r>
      <w:proofErr w:type="spellStart"/>
      <w:r>
        <w:rPr>
          <w:rFonts w:asciiTheme="majorBidi" w:eastAsia="Calibri" w:hAnsiTheme="majorBidi" w:cs="Times New Roman" w:hint="cs"/>
          <w:b/>
          <w:bCs/>
          <w:sz w:val="32"/>
          <w:szCs w:val="32"/>
          <w:rtl/>
        </w:rPr>
        <w:t>ال</w:t>
      </w:r>
      <w:r w:rsidR="00026EF3">
        <w:rPr>
          <w:rFonts w:asciiTheme="majorBidi" w:eastAsia="Calibri" w:hAnsiTheme="majorBidi" w:cs="Times New Roman" w:hint="cs"/>
          <w:b/>
          <w:bCs/>
          <w:sz w:val="32"/>
          <w:szCs w:val="32"/>
          <w:rtl/>
        </w:rPr>
        <w:t>ا</w:t>
      </w:r>
      <w:r>
        <w:rPr>
          <w:rFonts w:asciiTheme="majorBidi" w:eastAsia="Calibri" w:hAnsiTheme="majorBidi" w:cs="Times New Roman" w:hint="cs"/>
          <w:b/>
          <w:bCs/>
          <w:sz w:val="32"/>
          <w:szCs w:val="32"/>
          <w:rtl/>
        </w:rPr>
        <w:t>ستشراق</w:t>
      </w:r>
      <w:r w:rsidR="00026EF3">
        <w:rPr>
          <w:rFonts w:asciiTheme="majorBidi" w:eastAsia="Calibri" w:hAnsiTheme="majorBidi" w:cs="Times New Roman" w:hint="cs"/>
          <w:b/>
          <w:bCs/>
          <w:sz w:val="32"/>
          <w:szCs w:val="32"/>
          <w:rtl/>
        </w:rPr>
        <w:t>ي</w:t>
      </w:r>
      <w:proofErr w:type="spellEnd"/>
    </w:p>
    <w:p w14:paraId="6979625E" w14:textId="77777777" w:rsidR="00026EF3" w:rsidRDefault="00026EF3" w:rsidP="000E0CE7">
      <w:pPr>
        <w:jc w:val="center"/>
        <w:rPr>
          <w:rFonts w:asciiTheme="majorBidi" w:eastAsia="Calibri" w:hAnsiTheme="majorBidi" w:cstheme="majorBidi"/>
          <w:b/>
          <w:bCs/>
          <w:sz w:val="32"/>
          <w:szCs w:val="32"/>
          <w:rtl/>
        </w:rPr>
      </w:pPr>
    </w:p>
    <w:p w14:paraId="1119911B" w14:textId="6AE02495" w:rsidR="000E0CE7" w:rsidRPr="000E0CE7" w:rsidRDefault="000E0CE7" w:rsidP="000E0CE7">
      <w:pPr>
        <w:rPr>
          <w:rFonts w:asciiTheme="majorBidi" w:eastAsia="Calibri" w:hAnsiTheme="majorBidi" w:cstheme="majorBidi"/>
          <w:b/>
          <w:bCs/>
          <w:sz w:val="28"/>
          <w:szCs w:val="28"/>
          <w:rtl/>
        </w:rPr>
      </w:pPr>
      <w:r>
        <w:rPr>
          <w:rFonts w:asciiTheme="majorBidi" w:eastAsia="Calibri" w:hAnsiTheme="majorBidi" w:cstheme="majorBidi" w:hint="cs"/>
          <w:b/>
          <w:bCs/>
          <w:noProof/>
          <w:sz w:val="28"/>
          <w:szCs w:val="28"/>
          <w:rtl/>
          <w:lang w:val="ar-SA"/>
        </w:rPr>
        <mc:AlternateContent>
          <mc:Choice Requires="wps">
            <w:drawing>
              <wp:anchor distT="0" distB="0" distL="114300" distR="114300" simplePos="0" relativeHeight="251661312" behindDoc="0" locked="0" layoutInCell="1" allowOverlap="1" wp14:anchorId="33E85D8B" wp14:editId="58431406">
                <wp:simplePos x="0" y="0"/>
                <wp:positionH relativeFrom="column">
                  <wp:posOffset>-247650</wp:posOffset>
                </wp:positionH>
                <wp:positionV relativeFrom="paragraph">
                  <wp:posOffset>104775</wp:posOffset>
                </wp:positionV>
                <wp:extent cx="6438900" cy="0"/>
                <wp:effectExtent l="0" t="0" r="0" b="0"/>
                <wp:wrapNone/>
                <wp:docPr id="4" name="رابط مستقيم 4"/>
                <wp:cNvGraphicFramePr/>
                <a:graphic xmlns:a="http://schemas.openxmlformats.org/drawingml/2006/main">
                  <a:graphicData uri="http://schemas.microsoft.com/office/word/2010/wordprocessingShape">
                    <wps:wsp>
                      <wps:cNvCnPr/>
                      <wps:spPr>
                        <a:xfrm flipH="1">
                          <a:off x="0" y="0"/>
                          <a:ext cx="64389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79079DEF" id="رابط مستقيم 4" o:spid="_x0000_s1026" style="position:absolute;left:0;text-align:left;flip:x;z-index:251661312;visibility:visible;mso-wrap-style:square;mso-wrap-distance-left:9pt;mso-wrap-distance-top:0;mso-wrap-distance-right:9pt;mso-wrap-distance-bottom:0;mso-position-horizontal:absolute;mso-position-horizontal-relative:text;mso-position-vertical:absolute;mso-position-vertical-relative:text" from="-19.5pt,8.25pt" to="487.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" strokecolor="black [3200]" strokeweight="1pt">
                <v:stroke joinstyle="miter"/>
              </v:line>
            </w:pict>
          </mc:Fallback>
        </mc:AlternateContent>
      </w:r>
    </w:p>
    <w:p w14:paraId="529DAFA9" w14:textId="2E16563A" w:rsidR="00AF55A8" w:rsidRPr="000E0CE7" w:rsidRDefault="000E0CE7" w:rsidP="00AF55A8">
      <w:pPr>
        <w:rPr>
          <w:rFonts w:asciiTheme="majorBidi" w:eastAsia="Calibri" w:hAnsiTheme="majorBidi" w:cstheme="majorBidi"/>
          <w:i/>
          <w:iCs/>
          <w:rtl/>
        </w:rPr>
      </w:pPr>
      <w:r w:rsidRPr="000E0CE7">
        <w:rPr>
          <w:rFonts w:asciiTheme="majorBidi" w:eastAsia="Calibri" w:hAnsiTheme="majorBidi" w:cs="Times New Roman"/>
          <w:i/>
          <w:iCs/>
          <w:rtl/>
        </w:rPr>
        <w:t xml:space="preserve">(مجلة: </w:t>
      </w:r>
      <w:r w:rsidRPr="000E0CE7">
        <w:rPr>
          <w:rFonts w:asciiTheme="majorBidi" w:eastAsia="Calibri" w:hAnsiTheme="majorBidi" w:cstheme="majorBidi"/>
          <w:i/>
          <w:iCs/>
        </w:rPr>
        <w:t>History and Anthropology</w:t>
      </w:r>
      <w:r w:rsidRPr="000E0CE7">
        <w:rPr>
          <w:rFonts w:asciiTheme="majorBidi" w:eastAsia="Calibri" w:hAnsiTheme="majorBidi" w:cs="Times New Roman"/>
          <w:i/>
          <w:iCs/>
          <w:rtl/>
        </w:rPr>
        <w:t>، المجلد 18، العدد 2، يونيو/حزيران 2007، الصفحات 135–151)</w:t>
      </w:r>
    </w:p>
    <w:p w14:paraId="5AC89F1C" w14:textId="77777777" w:rsidR="000E0CE7" w:rsidRDefault="000E0CE7" w:rsidP="000E0CE7">
      <w:pPr>
        <w:rPr>
          <w:rFonts w:asciiTheme="majorBidi" w:eastAsia="Calibri" w:hAnsiTheme="majorBidi" w:cstheme="majorBidi"/>
          <w:b/>
          <w:bCs/>
          <w:sz w:val="28"/>
          <w:szCs w:val="28"/>
          <w:rtl/>
        </w:rPr>
      </w:pPr>
      <w:r w:rsidRPr="008A250B">
        <w:rPr>
          <w:rFonts w:asciiTheme="majorBidi" w:eastAsia="Calibri" w:hAnsiTheme="majorBidi" w:cs="Times New Roman"/>
          <w:b/>
          <w:bCs/>
          <w:sz w:val="28"/>
          <w:szCs w:val="28"/>
          <w:rtl/>
        </w:rPr>
        <w:t>الاستشراق: إعادة النظر في العلاقة بين الغرب والشرق</w:t>
      </w:r>
    </w:p>
    <w:p w14:paraId="7C2D8942" w14:textId="618520F4" w:rsidR="00AF55A8" w:rsidRDefault="00AF55A8" w:rsidP="00AF55A8">
      <w:pPr>
        <w:rPr>
          <w:rFonts w:asciiTheme="majorBidi" w:eastAsia="Calibri" w:hAnsiTheme="majorBidi" w:cstheme="majorBidi"/>
          <w:sz w:val="24"/>
          <w:szCs w:val="24"/>
          <w:rtl/>
        </w:rPr>
      </w:pPr>
    </w:p>
    <w:p w14:paraId="3CA38118" w14:textId="77777777" w:rsidR="000E0CE7" w:rsidRPr="0023015A" w:rsidRDefault="000E0CE7" w:rsidP="000E0CE7">
      <w:pPr>
        <w:jc w:val="both"/>
        <w:rPr>
          <w:rFonts w:asciiTheme="majorBidi" w:eastAsia="Calibri" w:hAnsiTheme="majorBidi" w:cstheme="majorBidi"/>
          <w:sz w:val="24"/>
          <w:szCs w:val="24"/>
          <w:rtl/>
        </w:rPr>
      </w:pPr>
      <w:r w:rsidRPr="0023015A">
        <w:rPr>
          <w:rFonts w:asciiTheme="majorBidi" w:eastAsia="Calibri" w:hAnsiTheme="majorBidi" w:cs="Times New Roman"/>
          <w:sz w:val="24"/>
          <w:szCs w:val="24"/>
          <w:rtl/>
        </w:rPr>
        <w:t xml:space="preserve">يمثل صدور كتاب إدوارد سعيد </w:t>
      </w:r>
      <w:r w:rsidRPr="0023015A">
        <w:rPr>
          <w:rFonts w:asciiTheme="majorBidi" w:eastAsia="Calibri" w:hAnsiTheme="majorBidi" w:cs="Times New Roman"/>
          <w:i/>
          <w:iCs/>
          <w:sz w:val="24"/>
          <w:szCs w:val="24"/>
          <w:rtl/>
        </w:rPr>
        <w:t>"الاستشراق"</w:t>
      </w:r>
      <w:r w:rsidRPr="0023015A">
        <w:rPr>
          <w:rFonts w:asciiTheme="majorBidi" w:eastAsia="Calibri" w:hAnsiTheme="majorBidi" w:cs="Times New Roman"/>
          <w:sz w:val="24"/>
          <w:szCs w:val="24"/>
          <w:rtl/>
        </w:rPr>
        <w:t xml:space="preserve"> عام 1978 نقطة تحول جوهرية في فهم العَلاقة بين الغرب والمناطق غير الغربية. سعى سعيد إلى تحليل الطرق التي انعكست بها التمثيلات الغربية السياسية والأدبية والعلمية للشرق الأوسط تحت تأثير السلطة السياسية، ما جعلها تحمل طابعًا قويًا من الهيمنة والاستغلال. ومن خلال الاستفادة من الإطار النظري لميشيل فوكو في تفكيك الأنظمة الخطابية وتحليل تمثيلات الثقافات والمجتمعات الشرق-أوسطية في الفكر الأوروبي، دمج سعيد نقده للخطاب الأوروبي عن الشرق الأوسط بقضايا أعمق تتصل بمفهوم التمثيل عمومًا.</w:t>
      </w:r>
    </w:p>
    <w:p w14:paraId="679C3F5F" w14:textId="77777777" w:rsidR="000E0CE7" w:rsidRDefault="000E0CE7" w:rsidP="000E0CE7">
      <w:pPr>
        <w:jc w:val="both"/>
        <w:rPr>
          <w:rFonts w:asciiTheme="majorBidi" w:eastAsia="Calibri" w:hAnsiTheme="majorBidi" w:cstheme="majorBidi"/>
          <w:sz w:val="24"/>
          <w:szCs w:val="24"/>
          <w:rtl/>
        </w:rPr>
      </w:pPr>
      <w:r w:rsidRPr="0023015A">
        <w:rPr>
          <w:rFonts w:asciiTheme="majorBidi" w:eastAsia="Calibri" w:hAnsiTheme="majorBidi" w:cs="Times New Roman"/>
          <w:sz w:val="24"/>
          <w:szCs w:val="24"/>
          <w:rtl/>
        </w:rPr>
        <w:t xml:space="preserve">أوضح سعيد أن هذا الخطاب لم يكن مجرد انعكاس لواقع موضوعي، بل كان مرتبطًا ارتباطًا وثيقًا ببنيات السلطة والاستعمار. كما أشار إلى كيفية اعتماده على صور نمطية عنصرية أسهمت في تعزيز تفاوت القُوَى وإعادة إنتاج التصورات الغربية المهيمنة بشكل مستمر. ومن خلال استخدام مفهوم </w:t>
      </w:r>
      <w:r w:rsidRPr="00803271">
        <w:rPr>
          <w:rFonts w:asciiTheme="majorBidi" w:eastAsia="Calibri" w:hAnsiTheme="majorBidi" w:cs="Times New Roman"/>
          <w:i/>
          <w:iCs/>
          <w:sz w:val="24"/>
          <w:szCs w:val="24"/>
          <w:rtl/>
        </w:rPr>
        <w:t>"الاستشراق"</w:t>
      </w:r>
      <w:r w:rsidRPr="0023015A">
        <w:rPr>
          <w:rFonts w:asciiTheme="majorBidi" w:eastAsia="Calibri" w:hAnsiTheme="majorBidi" w:cs="Times New Roman"/>
          <w:sz w:val="24"/>
          <w:szCs w:val="24"/>
          <w:rtl/>
        </w:rPr>
        <w:t xml:space="preserve"> لوصف هذا الخطاب، أسدى سعيد خدمة عظيمة للمجالين الفكري والسياسي. فقد وفر أداة نقدية قوية لجميع المهتمين بتحدي القواعد المعرفية المهيمنة، التي تجسدت في أشكال متعددة داخل الحقول الأكاديمية والثقافية</w:t>
      </w:r>
      <w:r>
        <w:rPr>
          <w:rFonts w:asciiTheme="majorBidi" w:eastAsia="Calibri" w:hAnsiTheme="majorBidi" w:cstheme="majorBidi" w:hint="cs"/>
          <w:sz w:val="24"/>
          <w:szCs w:val="24"/>
          <w:rtl/>
        </w:rPr>
        <w:t>.</w:t>
      </w:r>
    </w:p>
    <w:p w14:paraId="70380E8E" w14:textId="77777777" w:rsidR="000E0CE7" w:rsidRDefault="000E0CE7" w:rsidP="000E0CE7">
      <w:pPr>
        <w:jc w:val="both"/>
        <w:rPr>
          <w:rFonts w:asciiTheme="majorBidi" w:eastAsia="Calibri" w:hAnsiTheme="majorBidi" w:cstheme="majorBidi"/>
          <w:sz w:val="24"/>
          <w:szCs w:val="24"/>
          <w:rtl/>
        </w:rPr>
      </w:pPr>
      <w:r w:rsidRPr="000D56AC">
        <w:rPr>
          <w:rFonts w:asciiTheme="majorBidi" w:eastAsia="Calibri" w:hAnsiTheme="majorBidi" w:cs="Times New Roman"/>
          <w:sz w:val="24"/>
          <w:szCs w:val="24"/>
          <w:rtl/>
        </w:rPr>
        <w:t xml:space="preserve">لقد قامت الأعمال اللاحقة التي قدّمها إدوارد سعيد وغيره من الباحثين بتعميق رؤيته الأصلية وتوسيع نطاقها، مع وجود بعض الأطروحات التي تعارضاها أيضًا. وهنا يبرز اعتبار إضافي: نظرًا لأن كتاب سعيد أصبح إحدى النصوص التأسيسية ليس فقط في مجال الاستشراق، بل أيضًا في المجالات الأوسع للدراسات ما بعد </w:t>
      </w:r>
      <w:proofErr w:type="spellStart"/>
      <w:r w:rsidRPr="000D56AC">
        <w:rPr>
          <w:rFonts w:asciiTheme="majorBidi" w:eastAsia="Calibri" w:hAnsiTheme="majorBidi" w:cs="Times New Roman"/>
          <w:sz w:val="24"/>
          <w:szCs w:val="24"/>
          <w:rtl/>
        </w:rPr>
        <w:t>الكولونيالية</w:t>
      </w:r>
      <w:proofErr w:type="spellEnd"/>
      <w:r w:rsidRPr="000D56AC">
        <w:rPr>
          <w:rFonts w:asciiTheme="majorBidi" w:eastAsia="Calibri" w:hAnsiTheme="majorBidi" w:cs="Times New Roman"/>
          <w:sz w:val="24"/>
          <w:szCs w:val="24"/>
          <w:rtl/>
        </w:rPr>
        <w:t xml:space="preserve"> والدراسات الثقافية، يمكن أن تنطبق العديد من النِّقَاط التي سنطرحها لاحقًا على هذه المجالات البحثية الأخرى كذلك</w:t>
      </w:r>
      <w:r>
        <w:rPr>
          <w:rFonts w:asciiTheme="majorBidi" w:eastAsia="Calibri" w:hAnsiTheme="majorBidi" w:cstheme="majorBidi" w:hint="cs"/>
          <w:sz w:val="24"/>
          <w:szCs w:val="24"/>
          <w:rtl/>
        </w:rPr>
        <w:t>.</w:t>
      </w:r>
    </w:p>
    <w:p w14:paraId="31933EC5" w14:textId="77777777" w:rsidR="000E0CE7" w:rsidRDefault="000E0CE7" w:rsidP="000E0CE7">
      <w:pPr>
        <w:jc w:val="both"/>
        <w:rPr>
          <w:rFonts w:asciiTheme="majorBidi" w:eastAsia="Calibri" w:hAnsiTheme="majorBidi" w:cstheme="majorBidi"/>
          <w:sz w:val="24"/>
          <w:szCs w:val="24"/>
          <w:rtl/>
        </w:rPr>
      </w:pPr>
      <w:r w:rsidRPr="000D56AC">
        <w:rPr>
          <w:rFonts w:asciiTheme="majorBidi" w:eastAsia="Calibri" w:hAnsiTheme="majorBidi" w:cs="Times New Roman"/>
          <w:sz w:val="24"/>
          <w:szCs w:val="24"/>
          <w:rtl/>
        </w:rPr>
        <w:t>بفضل مساهمات الجيل الأول من النقاد الذين تناولوا نقد أشكال المعرفة الاستعمارية، وعلى رأسهم إدوارد سعيد والمفكرون الذين استلهموا أطروحاته</w:t>
      </w:r>
      <w:r>
        <w:rPr>
          <w:rFonts w:asciiTheme="majorBidi" w:eastAsia="Calibri" w:hAnsiTheme="majorBidi" w:cs="Times New Roman" w:hint="cs"/>
          <w:sz w:val="24"/>
          <w:szCs w:val="24"/>
          <w:rtl/>
        </w:rPr>
        <w:t xml:space="preserve"> (</w:t>
      </w:r>
      <w:r w:rsidRPr="000D56AC">
        <w:rPr>
          <w:rFonts w:asciiTheme="majorBidi" w:eastAsia="Calibri" w:hAnsiTheme="majorBidi" w:cs="Times New Roman"/>
          <w:sz w:val="24"/>
          <w:szCs w:val="24"/>
          <w:rtl/>
        </w:rPr>
        <w:t>ومن بينهم نحن</w:t>
      </w:r>
      <w:r>
        <w:rPr>
          <w:rFonts w:asciiTheme="majorBidi" w:eastAsia="Calibri" w:hAnsiTheme="majorBidi" w:cs="Times New Roman" w:hint="cs"/>
          <w:sz w:val="24"/>
          <w:szCs w:val="24"/>
          <w:rtl/>
        </w:rPr>
        <w:t xml:space="preserve">) </w:t>
      </w:r>
      <w:r w:rsidRPr="000D56AC">
        <w:rPr>
          <w:rFonts w:asciiTheme="majorBidi" w:eastAsia="Calibri" w:hAnsiTheme="majorBidi" w:cs="Times New Roman"/>
          <w:sz w:val="24"/>
          <w:szCs w:val="24"/>
          <w:rtl/>
        </w:rPr>
        <w:t>أصبحت دراسة دور التمثيلات الاستعمارية في صياغة خطاب الإمبريالية تحتل مكانة بارزة في الأجندة الأكاديمية. وقد أظهر النقد الذي قدمه كتاب الاستشراق خلال مرحلته الأولى إنتاجية ملحوظة، خاصة في أوساط الباحثين المتخصصين في مجال النظرية الأدبية. أدى هذا التوجه إلى إيلاء اهتمام بالغ للتحليل الإبستمولوجي والتعليق الماورائي على خطاب الاستشراق، مما أسفر عن تحقيق إسهامات معرفية ذات أهمية كبيرة، ولكنه أسهم أيضًا بدرجة ما في تهميش الدراسات التاريخية.</w:t>
      </w:r>
    </w:p>
    <w:p w14:paraId="78DBD5AB" w14:textId="77777777" w:rsidR="000E0CE7" w:rsidRDefault="000E0CE7" w:rsidP="000E0CE7">
      <w:pPr>
        <w:jc w:val="both"/>
        <w:rPr>
          <w:rFonts w:asciiTheme="majorBidi" w:eastAsia="Calibri" w:hAnsiTheme="majorBidi" w:cstheme="majorBidi"/>
          <w:sz w:val="24"/>
          <w:szCs w:val="24"/>
          <w:rtl/>
        </w:rPr>
      </w:pPr>
      <w:r w:rsidRPr="00BB03B4">
        <w:rPr>
          <w:rFonts w:asciiTheme="majorBidi" w:eastAsia="Calibri" w:hAnsiTheme="majorBidi" w:cs="Times New Roman"/>
          <w:sz w:val="24"/>
          <w:szCs w:val="24"/>
          <w:rtl/>
        </w:rPr>
        <w:t>على الرغم من الإنجازات الكبيرة في مجال تنظير الاستشراق كخطاب، بالإضافة إلى الدراسات المميزة التي تناولت حالات معينة توضح تشكّله بفعل الاستعمار وتأثيره المتبادل، يبقى نقد التمثيلات الاستعمارية في كثير من الأحيان بعيدًا عن الواقع ومجردًا، سواء فيما يتعلق بتاريخه الخاص أو بالتواريخ الاستعمارية المحددة التي سعى لتحليلها. نعتقد أن الوقت قد حان ليس فقط لإعادة تقييم إنجازات نقد الاستشراق، ولكن أيضًا للاعتراف ببعض أوجه القصور في</w:t>
      </w:r>
      <w:r>
        <w:rPr>
          <w:rFonts w:asciiTheme="majorBidi" w:eastAsia="Calibri" w:hAnsiTheme="majorBidi" w:cstheme="majorBidi" w:hint="cs"/>
          <w:sz w:val="24"/>
          <w:szCs w:val="24"/>
          <w:rtl/>
        </w:rPr>
        <w:t>ه.</w:t>
      </w:r>
    </w:p>
    <w:p w14:paraId="24A0F39D" w14:textId="77777777" w:rsidR="000E0CE7" w:rsidRDefault="000E0CE7" w:rsidP="000E0CE7">
      <w:pPr>
        <w:jc w:val="both"/>
        <w:rPr>
          <w:rFonts w:asciiTheme="majorBidi" w:eastAsia="Calibri" w:hAnsiTheme="majorBidi" w:cstheme="majorBidi"/>
          <w:sz w:val="24"/>
          <w:szCs w:val="24"/>
          <w:rtl/>
        </w:rPr>
      </w:pPr>
      <w:r w:rsidRPr="00746673">
        <w:rPr>
          <w:rFonts w:asciiTheme="majorBidi" w:eastAsia="Calibri" w:hAnsiTheme="majorBidi" w:cs="Times New Roman"/>
          <w:sz w:val="24"/>
          <w:szCs w:val="24"/>
          <w:rtl/>
        </w:rPr>
        <w:t>صفتنا مؤرخين نولي اهتمامًا خاصًا بالقضايا المعقدة المرتبطة بنقد أنماط المعرفة الاستعمارية، فإننا نؤكد أن التمثيلات الاستعمارية، على الرغم من تناولها عبر إطار نظري واسع، لم تُبحث تاريخيًا بالشكل الكافي الذي تستحقه. والأجدر اهتمامًا أن الاستشراق، وكذلك الدراسات التي استلهمت نهجه، فشلت في استيعاب السياقات السياسية التي شكّلت نشأته. إن الغوص في هذا التاريخ يتيح لنا إدراك العمق المعرفي الذي غُضّ الطرف عنه عندما اقتُصر تناول الاستشراق على كونه مجرد تدخل خطابي. ونحن نعترف بأن نقد الاستشراق كان له تأثير عميق على طرق فهمنا للاستعمار وصلته بعصر التنوير، حيث إن التمثيلات الاستعمارية لعبت دورًا جوهريًا في تشكيل العوالم الثقافية للمستعمرين والمستعمَرين على حد سواء، نظرًا لكون هذه التمثيلات كانت مشبعة بالسلطة ومترسخة فيها بعم</w:t>
      </w:r>
      <w:r>
        <w:rPr>
          <w:rFonts w:asciiTheme="majorBidi" w:eastAsia="Calibri" w:hAnsiTheme="majorBidi" w:cstheme="majorBidi" w:hint="cs"/>
          <w:sz w:val="24"/>
          <w:szCs w:val="24"/>
          <w:rtl/>
        </w:rPr>
        <w:t>ق.</w:t>
      </w:r>
    </w:p>
    <w:p w14:paraId="4DAE967E" w14:textId="77777777" w:rsidR="000E0CE7" w:rsidRDefault="000E0CE7" w:rsidP="000E0CE7">
      <w:pPr>
        <w:jc w:val="both"/>
        <w:rPr>
          <w:rFonts w:asciiTheme="majorBidi" w:eastAsia="Calibri" w:hAnsiTheme="majorBidi" w:cstheme="majorBidi"/>
          <w:sz w:val="24"/>
          <w:szCs w:val="24"/>
          <w:rtl/>
        </w:rPr>
      </w:pPr>
      <w:r w:rsidRPr="00746673">
        <w:rPr>
          <w:rFonts w:asciiTheme="majorBidi" w:eastAsia="Calibri" w:hAnsiTheme="majorBidi" w:cs="Times New Roman"/>
          <w:sz w:val="24"/>
          <w:szCs w:val="24"/>
          <w:rtl/>
        </w:rPr>
        <w:t>غير أن سعيد، عندما قدم الاستشراق بصفته خطابًا للسلطة يبرّر الإمبريالية لنفسها ويبرر هيمنتها في حين يشوّه صورة الشعوب المستعمَرة، أعاد عمليًا استخدام نفس الثنائيات القائمة بين المستعمرين الأقوياء الفاعلين والشعوب المستعمَرة السلبية، وهي الثنائيات التي كان يسعى من جهة أخرى إلى تفكيكها. هذه الرؤية، التي تستلهم أساسها من أفكار فوكو، تبدو غير كافية لتفسير العَلاقة بين «الغرب» و«البقية». عبر تقديم التنوير باعتباره كيانًا متجانسًا وشاملًا (يُفهم أساسًا خطاب سلطة) وتجاهل البعد التاريخي في التحليل، يبقى هذا النهج أسيرًا لنفس الثنائيات التقليدية التي يدّعي تجاوز</w:t>
      </w:r>
      <w:r>
        <w:rPr>
          <w:rFonts w:asciiTheme="majorBidi" w:eastAsia="Calibri" w:hAnsiTheme="majorBidi" w:cstheme="majorBidi" w:hint="cs"/>
          <w:sz w:val="24"/>
          <w:szCs w:val="24"/>
          <w:rtl/>
        </w:rPr>
        <w:t>ه.</w:t>
      </w:r>
    </w:p>
    <w:p w14:paraId="3DD02C0D" w14:textId="77777777" w:rsidR="000E0CE7" w:rsidRDefault="000E0CE7" w:rsidP="000E0CE7">
      <w:pPr>
        <w:jc w:val="both"/>
        <w:rPr>
          <w:rFonts w:asciiTheme="majorBidi" w:eastAsia="Calibri" w:hAnsiTheme="majorBidi" w:cstheme="majorBidi"/>
          <w:sz w:val="24"/>
          <w:szCs w:val="24"/>
          <w:rtl/>
        </w:rPr>
      </w:pPr>
      <w:r>
        <w:rPr>
          <w:rFonts w:asciiTheme="majorBidi" w:eastAsia="Calibri" w:hAnsiTheme="majorBidi" w:cs="Times New Roman" w:hint="cs"/>
          <w:sz w:val="24"/>
          <w:szCs w:val="24"/>
          <w:rtl/>
        </w:rPr>
        <w:t>ن</w:t>
      </w:r>
      <w:r w:rsidRPr="003A6748">
        <w:rPr>
          <w:rFonts w:asciiTheme="majorBidi" w:eastAsia="Calibri" w:hAnsiTheme="majorBidi" w:cs="Times New Roman"/>
          <w:sz w:val="24"/>
          <w:szCs w:val="24"/>
          <w:rtl/>
        </w:rPr>
        <w:t>قترح مقاربة بديلة لتحليل ونقد التمثيلات الاستعمارية التي تناولها إدوارد سعيد ومن تأثروا بأعماله. تقوم فرضيتنا الأساسية على أنه لفهم أعمق لآليات عمل المعرفة والثقافات الاستعمارية، ينبغي توسيع الانخراط في السياقات التاريخية التي تشكّلت فيها هذه الظواهر، وهو الأمر الذي أشارت إليه بعض الدراسات في هذا المجال. لا يمكن إنكار أن خطاب الاستشراق أدّى دورًا محوريًا في تشكيل الثقافة الاستعمارية، إلا أننا نختلف مع الطرح الذي يعتبره العامل الحاسم أو الوحيد في هذا السياق. نرى أن تعميق دراسة التاريخ الثقافي والسياسي المرتبط بالتمثيلات الاستعمارية يسهم في تقديم رؤية أكثر شمولًا للعلاقة بين الغرب والاستعمار. بناءً على ذلك، تهدف هذه المقالة إلى إبراز الحاجة لتأريخ نقد الاستشراق بوصفه خطابًا فكريًا ولفهم موقعه ضمن تحول العلوم الإنسانية خلال الربع الأخير من القرن العشري</w:t>
      </w:r>
      <w:r>
        <w:rPr>
          <w:rFonts w:asciiTheme="majorBidi" w:eastAsia="Calibri" w:hAnsiTheme="majorBidi" w:cstheme="majorBidi" w:hint="cs"/>
          <w:sz w:val="24"/>
          <w:szCs w:val="24"/>
          <w:rtl/>
        </w:rPr>
        <w:t>ن.</w:t>
      </w:r>
    </w:p>
    <w:p w14:paraId="7636C51D" w14:textId="77777777" w:rsidR="000E0CE7" w:rsidRPr="003A6748" w:rsidRDefault="000E0CE7" w:rsidP="000E0CE7">
      <w:pPr>
        <w:jc w:val="both"/>
        <w:rPr>
          <w:rFonts w:asciiTheme="majorBidi" w:eastAsia="Calibri" w:hAnsiTheme="majorBidi" w:cstheme="majorBidi"/>
          <w:sz w:val="24"/>
          <w:szCs w:val="24"/>
          <w:rtl/>
        </w:rPr>
      </w:pPr>
      <w:r w:rsidRPr="003A6748">
        <w:rPr>
          <w:rFonts w:asciiTheme="majorBidi" w:eastAsia="Calibri" w:hAnsiTheme="majorBidi" w:cs="Times New Roman"/>
          <w:sz w:val="24"/>
          <w:szCs w:val="24"/>
          <w:rtl/>
        </w:rPr>
        <w:t xml:space="preserve">نسعى، بناءً على ذلك، لتحقيق عدد من الأهداف. أولًا، نسعى إلى تقديم مراجعة تاريخية موجزة لتطور الدراسات في ميدان الاستشراق منذ صدور كتاب </w:t>
      </w:r>
      <w:r w:rsidRPr="003A6748">
        <w:rPr>
          <w:rFonts w:asciiTheme="majorBidi" w:eastAsia="Calibri" w:hAnsiTheme="majorBidi" w:cs="Times New Roman"/>
          <w:i/>
          <w:iCs/>
          <w:sz w:val="24"/>
          <w:szCs w:val="24"/>
          <w:rtl/>
        </w:rPr>
        <w:t>"الاستشراق"</w:t>
      </w:r>
      <w:r w:rsidRPr="003A6748">
        <w:rPr>
          <w:rFonts w:asciiTheme="majorBidi" w:eastAsia="Calibri" w:hAnsiTheme="majorBidi" w:cs="Times New Roman"/>
          <w:sz w:val="24"/>
          <w:szCs w:val="24"/>
          <w:rtl/>
        </w:rPr>
        <w:t xml:space="preserve"> عام 1978 لإدوارد سعيد، وذلك بهدف تحديد الإطار النظري وأبعاد الرؤى التي طرحها. كما نهدف إلى تسليط الضوء على الطرق التي تواصل من خلالها هذه الرؤى تشكيل وتحفيز النقاشات المعاصرة حول موضوعات الاستشراق وما بعد </w:t>
      </w:r>
      <w:proofErr w:type="spellStart"/>
      <w:r w:rsidRPr="003A6748">
        <w:rPr>
          <w:rFonts w:asciiTheme="majorBidi" w:eastAsia="Calibri" w:hAnsiTheme="majorBidi" w:cs="Times New Roman"/>
          <w:sz w:val="24"/>
          <w:szCs w:val="24"/>
          <w:rtl/>
        </w:rPr>
        <w:t>الكولونيالية</w:t>
      </w:r>
      <w:proofErr w:type="spellEnd"/>
      <w:r w:rsidRPr="003A6748">
        <w:rPr>
          <w:rFonts w:asciiTheme="majorBidi" w:eastAsia="Calibri" w:hAnsiTheme="majorBidi" w:cs="Times New Roman"/>
          <w:sz w:val="24"/>
          <w:szCs w:val="24"/>
          <w:rtl/>
        </w:rPr>
        <w:t>. نتساءل في هذا السياق: ما الحصيلة الفكرية التي أسفر عنها النقد الذي استقى جذوره من أفكار سعيد خلال العقود الخمسة والعشرين الماضية؟ ما الذي ساهمت هذه الرؤى في إبرازه بوضوح أكبر؟ وما الجوانب التي ربما تم تجاهلها أو تهميشها بفعل ذلك؟</w:t>
      </w:r>
    </w:p>
    <w:p w14:paraId="2E34D3EF" w14:textId="77777777" w:rsidR="000E0CE7" w:rsidRDefault="000E0CE7" w:rsidP="000E0CE7">
      <w:pPr>
        <w:jc w:val="both"/>
        <w:rPr>
          <w:rFonts w:asciiTheme="majorBidi" w:eastAsia="Calibri" w:hAnsiTheme="majorBidi" w:cstheme="majorBidi"/>
          <w:sz w:val="24"/>
          <w:szCs w:val="24"/>
          <w:rtl/>
        </w:rPr>
      </w:pPr>
      <w:r w:rsidRPr="003A6748">
        <w:rPr>
          <w:rFonts w:asciiTheme="majorBidi" w:eastAsia="Calibri" w:hAnsiTheme="majorBidi" w:cs="Times New Roman"/>
          <w:sz w:val="24"/>
          <w:szCs w:val="24"/>
          <w:rtl/>
        </w:rPr>
        <w:t>يمثل كتاب سعيد نقطة انطلاق جوهرية لتحليل تأثير كل من التحولين اللغوي والثقافي، سواء داخل الحقل الفكري الأوسع أو في مجال الدراسات الاستشراقية نفسه، من منظور تاريخي شامل. ولهذا الغرض، نهدف في الأقسام التالية إلى إعادة وضع هذا العمل ضمن سياقه التاريخي الأقدم، أي في ضوء التغيرات الكبرى التي شهدها الحقل الفكري في كل من بريطانيا وفرنسا والولايات المتحدة خلال حقبتي الخمسينيات والستينيات من القرن العشرين، بما يشمل الانتقال من التركيز على التاريخ الاجتماعي إلى الأولويات الجديدة للتحليل اللغوي والثقافي.</w:t>
      </w:r>
    </w:p>
    <w:p w14:paraId="3BB34EF7" w14:textId="77777777" w:rsidR="000E0CE7" w:rsidRDefault="000E0CE7" w:rsidP="000E0CE7">
      <w:pPr>
        <w:jc w:val="both"/>
        <w:rPr>
          <w:rFonts w:asciiTheme="majorBidi" w:eastAsia="Calibri" w:hAnsiTheme="majorBidi" w:cstheme="majorBidi"/>
          <w:sz w:val="24"/>
          <w:szCs w:val="24"/>
          <w:rtl/>
        </w:rPr>
      </w:pPr>
      <w:r w:rsidRPr="00FA776D">
        <w:rPr>
          <w:rFonts w:asciiTheme="majorBidi" w:eastAsia="Calibri" w:hAnsiTheme="majorBidi" w:cs="Times New Roman"/>
          <w:sz w:val="24"/>
          <w:szCs w:val="24"/>
          <w:rtl/>
        </w:rPr>
        <w:t>لفهم الطبيعة الدقيقة لتدخّل سعيد، من الضروري وضعه في سياق السياقات السياسية والفكرية التي نشأ فيها. لذلك نبدأ بطرح مجموعة من الأسئلة: ما هو حال نقد أشكال المعرفة الاستعمارية قبل عام 1978؟ كيف انعكس هذا النقد في بريطانيا وفرنسا والولايات المتحدة؟ وما الذي ميّز الاستشراق مقارنة بالأعمال التي تراجع أمامها لاحقًا؟ وإلى أي مدى يمكن، رغم أهميته التي لا جدال فيها، اعتباره خطوة حقيقية إلى الوراء على المستويين الفكري والسياسي؟ للإجابة على هذه الأسئلة، نتتبع تطور نقد أشكال المعرفة الاستعمارية في بريطانيا وفرنسا والولايات المتحدة منذ منتصف الأربعينيات من القرن العشرين وحتى عام 1978. ومن خلال هذا التتبع، سنجد أن الاستشراق لم يأت من فراغ، بل كان نتاجًا لتاريخ طويل من الفكر والنشاط المناهض للإمبريالية ليس فقط في المستعمرات، بل أيضًا في قلب القوى الإمبراطورية نفسها</w:t>
      </w:r>
      <w:r>
        <w:rPr>
          <w:rFonts w:asciiTheme="majorBidi" w:eastAsia="Calibri" w:hAnsiTheme="majorBidi" w:cstheme="majorBidi" w:hint="cs"/>
          <w:sz w:val="24"/>
          <w:szCs w:val="24"/>
          <w:rtl/>
        </w:rPr>
        <w:t>.</w:t>
      </w:r>
    </w:p>
    <w:p w14:paraId="4B4E2BAC" w14:textId="68DD5C9E" w:rsidR="000E0CE7" w:rsidRDefault="000E0CE7" w:rsidP="00AF55A8">
      <w:pPr>
        <w:rPr>
          <w:rFonts w:asciiTheme="majorBidi" w:eastAsia="Calibri" w:hAnsiTheme="majorBidi" w:cstheme="majorBidi"/>
          <w:sz w:val="24"/>
          <w:szCs w:val="24"/>
          <w:rtl/>
        </w:rPr>
      </w:pPr>
    </w:p>
    <w:p w14:paraId="0F371735" w14:textId="4F81FEC1" w:rsidR="000E0CE7" w:rsidRDefault="000E0CE7" w:rsidP="00AF55A8">
      <w:pPr>
        <w:rPr>
          <w:rFonts w:asciiTheme="majorBidi" w:eastAsia="Calibri" w:hAnsiTheme="majorBidi" w:cstheme="majorBidi"/>
          <w:sz w:val="24"/>
          <w:szCs w:val="24"/>
          <w:rtl/>
        </w:rPr>
      </w:pPr>
    </w:p>
    <w:p w14:paraId="49171C49" w14:textId="16A5051F" w:rsidR="000E0CE7" w:rsidRDefault="000E0CE7" w:rsidP="00AF55A8">
      <w:pPr>
        <w:rPr>
          <w:rFonts w:asciiTheme="majorBidi" w:eastAsia="Calibri" w:hAnsiTheme="majorBidi" w:cstheme="majorBidi"/>
          <w:sz w:val="24"/>
          <w:szCs w:val="24"/>
          <w:rtl/>
        </w:rPr>
      </w:pPr>
    </w:p>
    <w:p w14:paraId="53C23F9E" w14:textId="5E0F6391" w:rsidR="000E0CE7" w:rsidRDefault="000E0CE7" w:rsidP="00AF55A8">
      <w:pPr>
        <w:rPr>
          <w:rFonts w:asciiTheme="majorBidi" w:eastAsia="Calibri" w:hAnsiTheme="majorBidi" w:cstheme="majorBidi"/>
          <w:sz w:val="24"/>
          <w:szCs w:val="24"/>
          <w:rtl/>
        </w:rPr>
      </w:pPr>
    </w:p>
    <w:p w14:paraId="0F6BA358" w14:textId="2F662F80" w:rsidR="000E0CE7" w:rsidRDefault="000E0CE7" w:rsidP="00AF55A8">
      <w:pPr>
        <w:rPr>
          <w:rFonts w:asciiTheme="majorBidi" w:eastAsia="Calibri" w:hAnsiTheme="majorBidi" w:cstheme="majorBidi"/>
          <w:sz w:val="24"/>
          <w:szCs w:val="24"/>
          <w:rtl/>
        </w:rPr>
      </w:pPr>
    </w:p>
    <w:p w14:paraId="7E3914BE" w14:textId="6EDDB5A8" w:rsidR="000E0CE7" w:rsidRDefault="000E0CE7" w:rsidP="00AF55A8">
      <w:pPr>
        <w:rPr>
          <w:rFonts w:asciiTheme="majorBidi" w:eastAsia="Calibri" w:hAnsiTheme="majorBidi" w:cstheme="majorBidi"/>
          <w:sz w:val="24"/>
          <w:szCs w:val="24"/>
          <w:rtl/>
        </w:rPr>
      </w:pPr>
    </w:p>
    <w:p w14:paraId="4A8ED8F4" w14:textId="6525EA45" w:rsidR="000E0CE7" w:rsidRDefault="000E0CE7" w:rsidP="00AF55A8">
      <w:pPr>
        <w:rPr>
          <w:rFonts w:asciiTheme="majorBidi" w:eastAsia="Calibri" w:hAnsiTheme="majorBidi" w:cstheme="majorBidi"/>
          <w:sz w:val="24"/>
          <w:szCs w:val="24"/>
          <w:rtl/>
        </w:rPr>
      </w:pPr>
    </w:p>
    <w:p w14:paraId="7A994CE7" w14:textId="66283313" w:rsidR="000E0CE7" w:rsidRDefault="000E0CE7" w:rsidP="00AF55A8">
      <w:pPr>
        <w:rPr>
          <w:rFonts w:asciiTheme="majorBidi" w:eastAsia="Calibri" w:hAnsiTheme="majorBidi" w:cstheme="majorBidi"/>
          <w:sz w:val="24"/>
          <w:szCs w:val="24"/>
          <w:rtl/>
        </w:rPr>
      </w:pPr>
    </w:p>
    <w:p w14:paraId="2F3C552B" w14:textId="389C105D" w:rsidR="000E0CE7" w:rsidRDefault="000E0CE7" w:rsidP="00AF55A8">
      <w:pPr>
        <w:rPr>
          <w:rFonts w:asciiTheme="majorBidi" w:eastAsia="Calibri" w:hAnsiTheme="majorBidi" w:cstheme="majorBidi"/>
          <w:sz w:val="24"/>
          <w:szCs w:val="24"/>
          <w:rtl/>
        </w:rPr>
      </w:pPr>
    </w:p>
    <w:p w14:paraId="562C8D09" w14:textId="062B7687" w:rsidR="000E0CE7" w:rsidRDefault="000E0CE7" w:rsidP="00AF55A8">
      <w:pPr>
        <w:rPr>
          <w:rFonts w:asciiTheme="majorBidi" w:eastAsia="Calibri" w:hAnsiTheme="majorBidi" w:cstheme="majorBidi"/>
          <w:sz w:val="24"/>
          <w:szCs w:val="24"/>
          <w:rtl/>
        </w:rPr>
      </w:pPr>
    </w:p>
    <w:p w14:paraId="4C6ECDDE" w14:textId="51DC99A9" w:rsidR="000E0CE7" w:rsidRDefault="000E0CE7" w:rsidP="00AF55A8">
      <w:pPr>
        <w:rPr>
          <w:rFonts w:asciiTheme="majorBidi" w:eastAsia="Calibri" w:hAnsiTheme="majorBidi" w:cstheme="majorBidi"/>
          <w:sz w:val="24"/>
          <w:szCs w:val="24"/>
          <w:rtl/>
        </w:rPr>
      </w:pPr>
    </w:p>
    <w:p w14:paraId="0D6273E3" w14:textId="77777777" w:rsidR="000E0CE7" w:rsidRDefault="000E0CE7" w:rsidP="000E0CE7">
      <w:pPr>
        <w:jc w:val="both"/>
        <w:rPr>
          <w:rFonts w:asciiTheme="majorBidi" w:eastAsia="Calibri" w:hAnsiTheme="majorBidi" w:cstheme="majorBidi"/>
          <w:b/>
          <w:bCs/>
          <w:sz w:val="28"/>
          <w:szCs w:val="28"/>
          <w:rtl/>
        </w:rPr>
      </w:pPr>
      <w:r w:rsidRPr="00625FBA">
        <w:rPr>
          <w:rFonts w:asciiTheme="majorBidi" w:eastAsia="Calibri" w:hAnsiTheme="majorBidi" w:cs="Times New Roman"/>
          <w:b/>
          <w:bCs/>
          <w:sz w:val="28"/>
          <w:szCs w:val="28"/>
          <w:rtl/>
        </w:rPr>
        <w:t>لاستشراق وفوكو: تحولات الفكر والسياسة في القرن العشرين</w:t>
      </w:r>
    </w:p>
    <w:p w14:paraId="16FFC456" w14:textId="2033618C" w:rsidR="000E0CE7" w:rsidRDefault="000E0CE7" w:rsidP="00AF55A8">
      <w:pPr>
        <w:rPr>
          <w:rFonts w:asciiTheme="majorBidi" w:eastAsia="Calibri" w:hAnsiTheme="majorBidi" w:cstheme="majorBidi"/>
          <w:sz w:val="24"/>
          <w:szCs w:val="24"/>
          <w:rtl/>
        </w:rPr>
      </w:pPr>
    </w:p>
    <w:p w14:paraId="62A7F0EE" w14:textId="7CEFD01B" w:rsidR="000E0CE7" w:rsidRPr="00625FBA" w:rsidRDefault="009F036C" w:rsidP="000E0CE7">
      <w:pPr>
        <w:jc w:val="both"/>
        <w:rPr>
          <w:rFonts w:asciiTheme="majorBidi" w:eastAsia="Calibri" w:hAnsiTheme="majorBidi" w:cstheme="majorBidi"/>
          <w:sz w:val="24"/>
          <w:szCs w:val="24"/>
          <w:rtl/>
        </w:rPr>
      </w:pPr>
      <w:r>
        <w:rPr>
          <w:rFonts w:asciiTheme="majorBidi" w:eastAsia="Calibri" w:hAnsiTheme="majorBidi" w:cs="Times New Roman" w:hint="cs"/>
          <w:sz w:val="24"/>
          <w:szCs w:val="24"/>
          <w:rtl/>
        </w:rPr>
        <w:t>أ</w:t>
      </w:r>
      <w:r w:rsidR="000E0CE7" w:rsidRPr="00625FBA">
        <w:rPr>
          <w:rFonts w:asciiTheme="majorBidi" w:eastAsia="Calibri" w:hAnsiTheme="majorBidi" w:cs="Times New Roman"/>
          <w:sz w:val="24"/>
          <w:szCs w:val="24"/>
          <w:rtl/>
        </w:rPr>
        <w:t xml:space="preserve">ين يمكن، إذن، وضع نقد الاستشراق في سياق التحولات الأوسع التي شهدتها العلوم الإنسانية منذ خمسينيات القرن العشرين؟ لقد أدت إسهامات مفكري ما بعد البنيوية، مثل </w:t>
      </w:r>
      <w:r w:rsidR="000E0CE7" w:rsidRPr="00625FBA">
        <w:rPr>
          <w:rFonts w:asciiTheme="majorBidi" w:eastAsia="Calibri" w:hAnsiTheme="majorBidi" w:cs="Times New Roman"/>
          <w:i/>
          <w:iCs/>
          <w:sz w:val="24"/>
          <w:szCs w:val="24"/>
          <w:rtl/>
        </w:rPr>
        <w:t>ميشيل فوكو</w:t>
      </w:r>
      <w:r w:rsidR="000E0CE7" w:rsidRPr="00625FBA">
        <w:rPr>
          <w:rFonts w:asciiTheme="majorBidi" w:eastAsia="Calibri" w:hAnsiTheme="majorBidi" w:cs="Times New Roman"/>
          <w:sz w:val="24"/>
          <w:szCs w:val="24"/>
          <w:rtl/>
        </w:rPr>
        <w:t xml:space="preserve"> </w:t>
      </w:r>
      <w:r w:rsidR="000E0CE7" w:rsidRPr="00625FBA">
        <w:rPr>
          <w:rFonts w:asciiTheme="majorBidi" w:eastAsia="Calibri" w:hAnsiTheme="majorBidi" w:cs="Times New Roman"/>
          <w:i/>
          <w:iCs/>
          <w:sz w:val="24"/>
          <w:szCs w:val="24"/>
          <w:rtl/>
        </w:rPr>
        <w:t>وجاك دريدا،</w:t>
      </w:r>
      <w:r w:rsidR="000E0CE7" w:rsidRPr="00625FBA">
        <w:rPr>
          <w:rFonts w:asciiTheme="majorBidi" w:eastAsia="Calibri" w:hAnsiTheme="majorBidi" w:cs="Times New Roman"/>
          <w:sz w:val="24"/>
          <w:szCs w:val="24"/>
          <w:rtl/>
        </w:rPr>
        <w:t xml:space="preserve"> إلى إعادة تشكيل الحقل المعرفي عبر التشكيك في المسلمات </w:t>
      </w:r>
      <w:proofErr w:type="spellStart"/>
      <w:r w:rsidR="000E0CE7" w:rsidRPr="00625FBA">
        <w:rPr>
          <w:rFonts w:asciiTheme="majorBidi" w:eastAsia="Calibri" w:hAnsiTheme="majorBidi" w:cs="Times New Roman"/>
          <w:sz w:val="24"/>
          <w:szCs w:val="24"/>
          <w:rtl/>
        </w:rPr>
        <w:t>الإبستمولوجية</w:t>
      </w:r>
      <w:proofErr w:type="spellEnd"/>
      <w:r w:rsidR="000E0CE7" w:rsidRPr="00625FBA">
        <w:rPr>
          <w:rFonts w:asciiTheme="majorBidi" w:eastAsia="Calibri" w:hAnsiTheme="majorBidi" w:cs="Times New Roman"/>
          <w:sz w:val="24"/>
          <w:szCs w:val="24"/>
          <w:rtl/>
        </w:rPr>
        <w:t xml:space="preserve"> وإعادة التفكير في أسس المعرفة. تمثلت جوهر هذه التحولات في تغييرات جذرية طالت مفاهيم الثقافة والسلطة والتاريخ، حيث أصبحت هذه المفاهيم عُرضة لهزات عميقة وأعادت تشكيل نفسها بإسقاط </w:t>
      </w:r>
      <w:proofErr w:type="spellStart"/>
      <w:r w:rsidR="000E0CE7" w:rsidRPr="00625FBA">
        <w:rPr>
          <w:rFonts w:asciiTheme="majorBidi" w:eastAsia="Calibri" w:hAnsiTheme="majorBidi" w:cs="Times New Roman"/>
          <w:sz w:val="24"/>
          <w:szCs w:val="24"/>
          <w:rtl/>
        </w:rPr>
        <w:t>الكانونات</w:t>
      </w:r>
      <w:proofErr w:type="spellEnd"/>
      <w:r w:rsidR="000E0CE7" w:rsidRPr="00625FBA">
        <w:rPr>
          <w:rFonts w:asciiTheme="majorBidi" w:eastAsia="Calibri" w:hAnsiTheme="majorBidi" w:cs="Times New Roman"/>
          <w:sz w:val="24"/>
          <w:szCs w:val="24"/>
          <w:rtl/>
        </w:rPr>
        <w:t xml:space="preserve"> التخصصية السائدة آنذاك.</w:t>
      </w:r>
    </w:p>
    <w:p w14:paraId="5FD2CCA6" w14:textId="77777777" w:rsidR="000E0CE7" w:rsidRPr="00625FBA" w:rsidRDefault="000E0CE7" w:rsidP="000E0CE7">
      <w:pPr>
        <w:jc w:val="both"/>
        <w:rPr>
          <w:rFonts w:asciiTheme="majorBidi" w:eastAsia="Calibri" w:hAnsiTheme="majorBidi" w:cstheme="majorBidi"/>
          <w:sz w:val="24"/>
          <w:szCs w:val="24"/>
          <w:rtl/>
        </w:rPr>
      </w:pPr>
      <w:r w:rsidRPr="00625FBA">
        <w:rPr>
          <w:rFonts w:asciiTheme="majorBidi" w:eastAsia="Calibri" w:hAnsiTheme="majorBidi" w:cs="Times New Roman"/>
          <w:sz w:val="24"/>
          <w:szCs w:val="24"/>
          <w:rtl/>
        </w:rPr>
        <w:t>كان علماء الأنثروبولوجيا، على سبيل المثال، ينظرون إلى الثقافة كوحدة متجانسة وثابتة ومحددة بحدود واضحة، فيما اعتمد المؤرخون على تصور تاريخي مشروط بالتجريبية، حيث اعتُبر الماضي كيانًا متماسكًا يمكن الوصول إليه واستخلاص معطياته كما هي. وفي السياق ذاته، كانت السلطة تُفهم تقليديًا كمفهوم مركزي يرتبط بالدولة والمؤسسات أو بالبنى الاقتصادية والاجتماعية، دون أن يُنظر إليها كظاهرة منتشرة أو مؤقتة؛ بل كانت تُدرك غالبًا ككيان مؤسسي ذي مركز معروف في المجتمع.</w:t>
      </w:r>
    </w:p>
    <w:p w14:paraId="3501F59D" w14:textId="77777777" w:rsidR="000E0CE7" w:rsidRDefault="000E0CE7" w:rsidP="000E0CE7">
      <w:pPr>
        <w:jc w:val="both"/>
        <w:rPr>
          <w:rFonts w:asciiTheme="majorBidi" w:eastAsia="Calibri" w:hAnsiTheme="majorBidi" w:cstheme="majorBidi"/>
          <w:sz w:val="24"/>
          <w:szCs w:val="24"/>
          <w:rtl/>
        </w:rPr>
      </w:pPr>
      <w:r w:rsidRPr="00625FBA">
        <w:rPr>
          <w:rFonts w:asciiTheme="majorBidi" w:eastAsia="Calibri" w:hAnsiTheme="majorBidi" w:cs="Times New Roman"/>
          <w:sz w:val="24"/>
          <w:szCs w:val="24"/>
          <w:rtl/>
        </w:rPr>
        <w:t>ومع التحولات العميقة التي شهدها ربع القرن الأخير، أصبحت كل واحدة من هذه التصورات المستقرة محل مراجعة وتحول جوهري. في الصفحات اللاحقة، سنناقش بإيجاز هذه المحاور الثلاثة منفردةً قبل أن ننتهي إلى معالجة السؤال الرئيسي المتعلق بالموقع الذي يشغله نقد الاستشراق ضمن هذا المشهد الديناميكي الذي يتسم بتغير فكري وثقافي جوه</w:t>
      </w:r>
      <w:r>
        <w:rPr>
          <w:rFonts w:asciiTheme="majorBidi" w:eastAsia="Calibri" w:hAnsiTheme="majorBidi" w:cstheme="majorBidi" w:hint="cs"/>
          <w:sz w:val="24"/>
          <w:szCs w:val="24"/>
          <w:rtl/>
        </w:rPr>
        <w:t>ري.</w:t>
      </w:r>
    </w:p>
    <w:p w14:paraId="273864CC" w14:textId="77777777" w:rsidR="000E0CE7" w:rsidRDefault="000E0CE7" w:rsidP="000E0CE7">
      <w:pPr>
        <w:jc w:val="both"/>
        <w:rPr>
          <w:rFonts w:asciiTheme="majorBidi" w:eastAsia="Calibri" w:hAnsiTheme="majorBidi" w:cstheme="majorBidi"/>
          <w:sz w:val="24"/>
          <w:szCs w:val="24"/>
          <w:rtl/>
        </w:rPr>
      </w:pPr>
      <w:r w:rsidRPr="00BD10BA">
        <w:rPr>
          <w:rFonts w:asciiTheme="majorBidi" w:eastAsia="Calibri" w:hAnsiTheme="majorBidi" w:cs="Times New Roman"/>
          <w:sz w:val="24"/>
          <w:szCs w:val="24"/>
          <w:rtl/>
        </w:rPr>
        <w:t>وبأثرٍ رجعي، يمكننا أن نرى أن الاستشراق انطوى على عمليتين فكريتين متميّزتين. تمثّلت الأولى في استيعاب سعيد لإعادة فوكو تصوّرَ علوم التنوير بوصفها منخرطة بعمق في مشروع السيطرة. فقد قدّمت أعمال فوكو حول مؤسّسات مثل السجن، والمدرسة، والعيادة الطبية، ومصحة المجانين أمثلةً على كيفية تلازم المعرفة والسلطة في فكر وممارسة عصر التنوير. أمّا العملية الثانية فتمثّلت في كشف الدلالات العنصرية الكامنة في التنوير؛ إذ جادل سعيد بأن التمثيلات الأوروبية لغير الغرب كانت متشابكة بعمق مع خطاب الإمبريالية. كما أن تسخيره للنظريات القارية ما بعد البنيوية في خدمة سياسات التحرّر في مرحلة ما بعد حرب فيتنام شكّل خطوةً كبرى منحت معارضي الكانون الأدبي القائم قوةً نقديةً هائلة. وهنا بالذات كان أثر الاستشراق الأعظم، إذ أتاح لسعيد أن يجادل بأن الاستشراق خطابٌ أوروبي للسيطرة والهيمنة على غير الغرب.</w:t>
      </w:r>
    </w:p>
    <w:p w14:paraId="397FBB01" w14:textId="77777777" w:rsidR="000E0CE7" w:rsidRDefault="000E0CE7" w:rsidP="000E0CE7">
      <w:pPr>
        <w:jc w:val="both"/>
        <w:rPr>
          <w:rFonts w:asciiTheme="majorBidi" w:eastAsia="Calibri" w:hAnsiTheme="majorBidi" w:cstheme="majorBidi"/>
          <w:sz w:val="24"/>
          <w:szCs w:val="24"/>
          <w:rtl/>
        </w:rPr>
      </w:pPr>
      <w:r w:rsidRPr="00C225CD">
        <w:rPr>
          <w:rFonts w:asciiTheme="majorBidi" w:eastAsia="Calibri" w:hAnsiTheme="majorBidi" w:cs="Times New Roman"/>
          <w:sz w:val="24"/>
          <w:szCs w:val="24"/>
          <w:rtl/>
        </w:rPr>
        <w:t>من السمات البارزة لتبنّي إدوارد سعيد منهجية فوكو تكمن فيما أضفته من صرامة ظاهرة على عملية التحليل، حيث يُنظر إلى الخطاب باعتباره قوة كُلِّيَّة التأثير، مما أتاح الفرصة لربط النص (المعرفة) بالسياق (السلطة). وقد ساعد هذا الربط في إيضاح كيفية عمل المنطق الثنائي للاستشراق بالإضافة إلى الكشف عن جذوره العميقة داخل الثقافة الأوروبية. ومع ذلك، فإن هذه المنهجية لم تكن بمعزل عن خسائر فكرية ذات أهمية. وكما سيتم توضيحه في القسم التالي من الدراسة، فإن الانتقادات الماركسية القديمة أظهرت قدرا أكبر من التعقيد والانغماس في السياق التاريخي؛ حيث أولت اهتمامًا متزايدًا للبنية الاجتماعية ودورها المحوري، كما زعمت القدرة على تفسير ظهور القومية وأشكال المقاومة المختلفة بأسلوب أكثر شمولاً</w:t>
      </w:r>
      <w:r>
        <w:rPr>
          <w:rFonts w:asciiTheme="majorBidi" w:eastAsia="Calibri" w:hAnsiTheme="majorBidi" w:cstheme="majorBidi" w:hint="cs"/>
          <w:sz w:val="24"/>
          <w:szCs w:val="24"/>
          <w:rtl/>
        </w:rPr>
        <w:t>.</w:t>
      </w:r>
    </w:p>
    <w:p w14:paraId="6E31F17A" w14:textId="033E260B" w:rsidR="000E0CE7" w:rsidRDefault="000E0CE7" w:rsidP="00AF55A8">
      <w:pPr>
        <w:rPr>
          <w:rFonts w:asciiTheme="majorBidi" w:eastAsia="Calibri" w:hAnsiTheme="majorBidi" w:cstheme="majorBidi"/>
          <w:sz w:val="24"/>
          <w:szCs w:val="24"/>
          <w:rtl/>
        </w:rPr>
      </w:pPr>
    </w:p>
    <w:p w14:paraId="0246229B" w14:textId="57AA4709" w:rsidR="000E0CE7" w:rsidRDefault="000E0CE7" w:rsidP="00AF55A8">
      <w:pPr>
        <w:rPr>
          <w:rFonts w:asciiTheme="majorBidi" w:eastAsia="Calibri" w:hAnsiTheme="majorBidi" w:cstheme="majorBidi"/>
          <w:sz w:val="24"/>
          <w:szCs w:val="24"/>
          <w:rtl/>
        </w:rPr>
      </w:pPr>
    </w:p>
    <w:p w14:paraId="3A7413FC" w14:textId="122F7614" w:rsidR="000E0CE7" w:rsidRDefault="000E0CE7" w:rsidP="00AF55A8">
      <w:pPr>
        <w:rPr>
          <w:rFonts w:asciiTheme="majorBidi" w:eastAsia="Calibri" w:hAnsiTheme="majorBidi" w:cstheme="majorBidi"/>
          <w:sz w:val="24"/>
          <w:szCs w:val="24"/>
          <w:rtl/>
        </w:rPr>
      </w:pPr>
    </w:p>
    <w:p w14:paraId="41D19457" w14:textId="2034947D" w:rsidR="000E0CE7" w:rsidRDefault="000E0CE7" w:rsidP="00AF55A8">
      <w:pPr>
        <w:rPr>
          <w:rFonts w:asciiTheme="majorBidi" w:eastAsia="Calibri" w:hAnsiTheme="majorBidi" w:cstheme="majorBidi"/>
          <w:sz w:val="24"/>
          <w:szCs w:val="24"/>
          <w:rtl/>
        </w:rPr>
      </w:pPr>
    </w:p>
    <w:p w14:paraId="1C3152CF" w14:textId="2B42890C" w:rsidR="000E0CE7" w:rsidRDefault="000E0CE7" w:rsidP="00AF55A8">
      <w:pPr>
        <w:rPr>
          <w:rFonts w:asciiTheme="majorBidi" w:eastAsia="Calibri" w:hAnsiTheme="majorBidi" w:cstheme="majorBidi"/>
          <w:sz w:val="24"/>
          <w:szCs w:val="24"/>
          <w:rtl/>
        </w:rPr>
      </w:pPr>
    </w:p>
    <w:p w14:paraId="32904D87" w14:textId="64FB0869" w:rsidR="000E0CE7" w:rsidRDefault="000E0CE7" w:rsidP="00AF55A8">
      <w:pPr>
        <w:rPr>
          <w:rFonts w:asciiTheme="majorBidi" w:eastAsia="Calibri" w:hAnsiTheme="majorBidi" w:cstheme="majorBidi"/>
          <w:sz w:val="24"/>
          <w:szCs w:val="24"/>
          <w:rtl/>
        </w:rPr>
      </w:pPr>
    </w:p>
    <w:p w14:paraId="0D7E9238" w14:textId="4BBC1B4D" w:rsidR="000E0CE7" w:rsidRDefault="000E0CE7" w:rsidP="00AF55A8">
      <w:pPr>
        <w:rPr>
          <w:rFonts w:asciiTheme="majorBidi" w:eastAsia="Calibri" w:hAnsiTheme="majorBidi" w:cstheme="majorBidi"/>
          <w:sz w:val="24"/>
          <w:szCs w:val="24"/>
          <w:rtl/>
        </w:rPr>
      </w:pPr>
    </w:p>
    <w:p w14:paraId="0A703237" w14:textId="0D432846" w:rsidR="000E0CE7" w:rsidRDefault="000E0CE7" w:rsidP="00AF55A8">
      <w:pPr>
        <w:rPr>
          <w:rFonts w:asciiTheme="majorBidi" w:eastAsia="Calibri" w:hAnsiTheme="majorBidi" w:cstheme="majorBidi"/>
          <w:sz w:val="24"/>
          <w:szCs w:val="24"/>
          <w:rtl/>
        </w:rPr>
      </w:pPr>
    </w:p>
    <w:p w14:paraId="646CB30F" w14:textId="391E380B" w:rsidR="000E0CE7" w:rsidRDefault="000E0CE7" w:rsidP="00AF55A8">
      <w:pPr>
        <w:rPr>
          <w:rFonts w:asciiTheme="majorBidi" w:eastAsia="Calibri" w:hAnsiTheme="majorBidi" w:cstheme="majorBidi"/>
          <w:sz w:val="24"/>
          <w:szCs w:val="24"/>
          <w:rtl/>
        </w:rPr>
      </w:pPr>
    </w:p>
    <w:p w14:paraId="5758BF8F" w14:textId="02B9A852" w:rsidR="000E0CE7" w:rsidRDefault="000E0CE7" w:rsidP="00AF55A8">
      <w:pPr>
        <w:rPr>
          <w:rFonts w:asciiTheme="majorBidi" w:eastAsia="Calibri" w:hAnsiTheme="majorBidi" w:cstheme="majorBidi"/>
          <w:sz w:val="24"/>
          <w:szCs w:val="24"/>
          <w:rtl/>
        </w:rPr>
      </w:pPr>
    </w:p>
    <w:p w14:paraId="277AFD53" w14:textId="34552116" w:rsidR="000E0CE7" w:rsidRDefault="000E0CE7" w:rsidP="00AF55A8">
      <w:pPr>
        <w:rPr>
          <w:rFonts w:asciiTheme="majorBidi" w:eastAsia="Calibri" w:hAnsiTheme="majorBidi" w:cstheme="majorBidi"/>
          <w:sz w:val="24"/>
          <w:szCs w:val="24"/>
          <w:rtl/>
        </w:rPr>
      </w:pPr>
    </w:p>
    <w:p w14:paraId="63028D4E" w14:textId="77777777" w:rsidR="00D51387" w:rsidRDefault="00D51387" w:rsidP="00D51387">
      <w:pPr>
        <w:jc w:val="both"/>
        <w:rPr>
          <w:rFonts w:asciiTheme="majorBidi" w:eastAsia="Calibri" w:hAnsiTheme="majorBidi" w:cstheme="majorBidi"/>
          <w:b/>
          <w:bCs/>
          <w:sz w:val="32"/>
          <w:szCs w:val="32"/>
          <w:rtl/>
        </w:rPr>
      </w:pPr>
      <w:r w:rsidRPr="00FF7778">
        <w:rPr>
          <w:b/>
          <w:bCs/>
          <w:sz w:val="28"/>
          <w:szCs w:val="28"/>
          <w:rtl/>
        </w:rPr>
        <w:t>الاستشراق في مرآة التاريخ: تأصيل نقدي في سياق حركات التحرر</w:t>
      </w:r>
    </w:p>
    <w:p w14:paraId="0539C68A" w14:textId="411E6BD5" w:rsidR="000E0CE7" w:rsidRDefault="000E0CE7" w:rsidP="00AF55A8">
      <w:pPr>
        <w:rPr>
          <w:rFonts w:asciiTheme="majorBidi" w:eastAsia="Calibri" w:hAnsiTheme="majorBidi" w:cstheme="majorBidi"/>
          <w:sz w:val="24"/>
          <w:szCs w:val="24"/>
          <w:rtl/>
        </w:rPr>
      </w:pPr>
    </w:p>
    <w:p w14:paraId="6E0BB373" w14:textId="77777777" w:rsidR="00D51387" w:rsidRDefault="00D51387" w:rsidP="00D51387">
      <w:pPr>
        <w:jc w:val="both"/>
        <w:rPr>
          <w:rFonts w:asciiTheme="majorBidi" w:eastAsia="Calibri" w:hAnsiTheme="majorBidi" w:cstheme="majorBidi"/>
          <w:sz w:val="24"/>
          <w:szCs w:val="24"/>
          <w:rtl/>
        </w:rPr>
      </w:pPr>
      <w:r w:rsidRPr="00FF7778">
        <w:rPr>
          <w:rFonts w:asciiTheme="majorBidi" w:eastAsia="Calibri" w:hAnsiTheme="majorBidi" w:cs="Times New Roman"/>
          <w:sz w:val="24"/>
          <w:szCs w:val="24"/>
          <w:rtl/>
        </w:rPr>
        <w:t xml:space="preserve">ننتقل الآن إلى تتبّع الجذور التاريخية لنقد الاستشراق باعتباره أحد أنماط المعرفة المتأثرة بالسياقات الاستعمارية. فالنقد الموجّه للاستشراق له تاريخ لا يقتصر حصريًا على الإمبراطورية البريطانية، على الرغم من أنه غالبًا ما يُفهم ضمن هذا الإطار. فما هو المعنى الذي كان يُمنح للاستشراق قبل صدور كتاب إدوارد سعيد </w:t>
      </w:r>
      <w:r w:rsidRPr="00FF7778">
        <w:rPr>
          <w:rFonts w:asciiTheme="majorBidi" w:eastAsia="Calibri" w:hAnsiTheme="majorBidi" w:cs="Times New Roman"/>
          <w:i/>
          <w:iCs/>
          <w:sz w:val="24"/>
          <w:szCs w:val="24"/>
          <w:rtl/>
        </w:rPr>
        <w:t>الاستشراق</w:t>
      </w:r>
      <w:r w:rsidRPr="00FF7778">
        <w:rPr>
          <w:rFonts w:asciiTheme="majorBidi" w:eastAsia="Calibri" w:hAnsiTheme="majorBidi" w:cs="Times New Roman"/>
          <w:sz w:val="24"/>
          <w:szCs w:val="24"/>
          <w:rtl/>
        </w:rPr>
        <w:t xml:space="preserve"> عام 1978؟ إن طرح هذا السؤال واستكشاف الإجابات المحتملة عنه يسمح لنا بتأريخ عمل سعيد وتحليل الطريقة التي أحدث بها نقلة نوعية في هذا المجال، وكذلك المواضع التي استند فيها إلى الأسس التي وضعتها دراسات سابقة. بالإضافة إلى ذلك، فإن البحث في الأصول المعرفية لدراسة الخطاب الاستعماري يسهم في وضع بعض الأهداف الأشمل لهذه الدراسة في سياق واضح. من بين هذه الأهداف فهم الظروف التاريخية العالمية التي شهدت ازدهار الاستشراق، وكذلك تحديد السياقات التي نشأ فيها نقد الاستشراق وتطوّر. كما أنه يشجّع على إعادة التفكير في مواطن القوة والقصور التي تميّزت بها مساهمة سعيد النقدية</w:t>
      </w:r>
      <w:r>
        <w:rPr>
          <w:rFonts w:asciiTheme="majorBidi" w:eastAsia="Calibri" w:hAnsiTheme="majorBidi" w:cstheme="majorBidi" w:hint="cs"/>
          <w:sz w:val="24"/>
          <w:szCs w:val="24"/>
          <w:rtl/>
        </w:rPr>
        <w:t>.</w:t>
      </w:r>
    </w:p>
    <w:p w14:paraId="51F030FF" w14:textId="77777777" w:rsidR="00D51387" w:rsidRPr="005332A5" w:rsidRDefault="00D51387" w:rsidP="00D51387">
      <w:pPr>
        <w:jc w:val="both"/>
        <w:rPr>
          <w:rFonts w:asciiTheme="majorBidi" w:eastAsia="Calibri" w:hAnsiTheme="majorBidi" w:cstheme="majorBidi"/>
          <w:sz w:val="24"/>
          <w:szCs w:val="24"/>
          <w:rtl/>
        </w:rPr>
      </w:pPr>
      <w:r w:rsidRPr="005332A5">
        <w:rPr>
          <w:rFonts w:asciiTheme="majorBidi" w:eastAsia="Calibri" w:hAnsiTheme="majorBidi" w:cs="Times New Roman"/>
          <w:sz w:val="24"/>
          <w:szCs w:val="24"/>
          <w:rtl/>
        </w:rPr>
        <w:t xml:space="preserve">ما هو الاستشراق إذن؟ في معناه الأساسي، كان الاستشراق يمثل تخصّصًا أكاديميًا يعتمد على الدراسة </w:t>
      </w:r>
      <w:proofErr w:type="spellStart"/>
      <w:r w:rsidRPr="005332A5">
        <w:rPr>
          <w:rFonts w:asciiTheme="majorBidi" w:eastAsia="Calibri" w:hAnsiTheme="majorBidi" w:cs="Times New Roman"/>
          <w:sz w:val="24"/>
          <w:szCs w:val="24"/>
          <w:rtl/>
        </w:rPr>
        <w:t>الفيلولوجية</w:t>
      </w:r>
      <w:proofErr w:type="spellEnd"/>
      <w:r w:rsidRPr="005332A5">
        <w:rPr>
          <w:rFonts w:asciiTheme="majorBidi" w:eastAsia="Calibri" w:hAnsiTheme="majorBidi" w:cs="Times New Roman"/>
          <w:sz w:val="24"/>
          <w:szCs w:val="24"/>
          <w:rtl/>
        </w:rPr>
        <w:t xml:space="preserve"> للنصوص الأصلية المكتوبة باللغات الآسيوية، وقد شهد هذا المجال ازدهارًا ملحوظًا في أواخر القرن الثامن عشر وطوال القرن التاسع عشر. وكمظهر من مظاهر فكر التنوير، استهدف الاستشراق الكشف عن السمات الجوهرية التي اعتُقد بأنها تُميّز الحضارات التي تعتمد أنظمة كتابة متقدمة، وذلك عبر ممارسة النقد </w:t>
      </w:r>
      <w:proofErr w:type="spellStart"/>
      <w:r w:rsidRPr="005332A5">
        <w:rPr>
          <w:rFonts w:asciiTheme="majorBidi" w:eastAsia="Calibri" w:hAnsiTheme="majorBidi" w:cs="Times New Roman"/>
          <w:sz w:val="24"/>
          <w:szCs w:val="24"/>
          <w:rtl/>
        </w:rPr>
        <w:t>الفيلولوجي</w:t>
      </w:r>
      <w:proofErr w:type="spellEnd"/>
      <w:r w:rsidRPr="005332A5">
        <w:rPr>
          <w:rFonts w:asciiTheme="majorBidi" w:eastAsia="Calibri" w:hAnsiTheme="majorBidi" w:cs="Times New Roman"/>
          <w:sz w:val="24"/>
          <w:szCs w:val="24"/>
          <w:rtl/>
        </w:rPr>
        <w:t xml:space="preserve"> للنصوص الثقافية التي اعتُبرت مركزية في تلك الحضارات.</w:t>
      </w:r>
    </w:p>
    <w:p w14:paraId="069487F9" w14:textId="77777777" w:rsidR="00D51387" w:rsidRDefault="00D51387" w:rsidP="00D51387">
      <w:pPr>
        <w:jc w:val="both"/>
        <w:rPr>
          <w:rFonts w:asciiTheme="majorBidi" w:eastAsia="Calibri" w:hAnsiTheme="majorBidi" w:cstheme="majorBidi"/>
          <w:sz w:val="24"/>
          <w:szCs w:val="24"/>
          <w:rtl/>
        </w:rPr>
      </w:pPr>
      <w:r w:rsidRPr="005332A5">
        <w:rPr>
          <w:rFonts w:asciiTheme="majorBidi" w:eastAsia="Calibri" w:hAnsiTheme="majorBidi" w:cs="Times New Roman"/>
          <w:sz w:val="24"/>
          <w:szCs w:val="24"/>
          <w:rtl/>
        </w:rPr>
        <w:t xml:space="preserve">قبل ظهور العلوم الاجتماعية بشكّلها الممنهج، اكتسب الاستشراق مكانته بوصفه علمًا يُعنى بفهم الحضارات والشعوب الآسيوية وتصنيفها بناءً على مستويات تطورها. وفي إطار التقسيم الأكاديمي للعمل خلال القرن التاسع عشر، تمحورت أعمال المستشرقين حول دراسة المجتمعات ذات النظم الكتابية، في حين خُصّصت دراسة المجتمعات غير الكتابية لعلم ناشئ حينها، وهو علم </w:t>
      </w:r>
      <w:proofErr w:type="spellStart"/>
      <w:r w:rsidRPr="005332A5">
        <w:rPr>
          <w:rFonts w:asciiTheme="majorBidi" w:eastAsia="Calibri" w:hAnsiTheme="majorBidi" w:cs="Times New Roman"/>
          <w:sz w:val="24"/>
          <w:szCs w:val="24"/>
          <w:rtl/>
        </w:rPr>
        <w:t>الإثنولوجيا</w:t>
      </w:r>
      <w:proofErr w:type="spellEnd"/>
      <w:r w:rsidRPr="005332A5">
        <w:rPr>
          <w:rFonts w:asciiTheme="majorBidi" w:eastAsia="Calibri" w:hAnsiTheme="majorBidi" w:cs="Times New Roman"/>
          <w:sz w:val="24"/>
          <w:szCs w:val="24"/>
          <w:rtl/>
        </w:rPr>
        <w:t>. هذا الطرح المبكّر لمفهوم الاستشراق كان المحور الأساس لكتاب إدوارد سعيد الذي نُشر عام 1978</w:t>
      </w:r>
      <w:r>
        <w:rPr>
          <w:rFonts w:asciiTheme="majorBidi" w:eastAsia="Calibri" w:hAnsiTheme="majorBidi" w:cstheme="majorBidi" w:hint="cs"/>
          <w:sz w:val="24"/>
          <w:szCs w:val="24"/>
          <w:rtl/>
        </w:rPr>
        <w:t>.</w:t>
      </w:r>
    </w:p>
    <w:p w14:paraId="0B310D10" w14:textId="77777777" w:rsidR="00D51387" w:rsidRDefault="00D51387" w:rsidP="00D51387">
      <w:pPr>
        <w:jc w:val="both"/>
        <w:rPr>
          <w:rFonts w:asciiTheme="majorBidi" w:eastAsia="Calibri" w:hAnsiTheme="majorBidi" w:cs="Times New Roman"/>
          <w:sz w:val="24"/>
          <w:szCs w:val="24"/>
          <w:rtl/>
        </w:rPr>
      </w:pPr>
      <w:r w:rsidRPr="00E71C94">
        <w:rPr>
          <w:rFonts w:asciiTheme="majorBidi" w:eastAsia="Calibri" w:hAnsiTheme="majorBidi" w:cs="Times New Roman"/>
          <w:sz w:val="24"/>
          <w:szCs w:val="24"/>
          <w:rtl/>
        </w:rPr>
        <w:t xml:space="preserve">في تلك الفترة، اكتسب الاستشراق معنىً إضافيًا، إذ أصبح يعبر عن النزعة الرومانسية والتوجه نحو التغريب أو </w:t>
      </w:r>
      <w:proofErr w:type="spellStart"/>
      <w:r w:rsidRPr="00E71C94">
        <w:rPr>
          <w:rFonts w:asciiTheme="majorBidi" w:eastAsia="Calibri" w:hAnsiTheme="majorBidi" w:cs="Times New Roman"/>
          <w:sz w:val="24"/>
          <w:szCs w:val="24"/>
          <w:rtl/>
        </w:rPr>
        <w:t>الإكزوتيكية</w:t>
      </w:r>
      <w:proofErr w:type="spellEnd"/>
      <w:r w:rsidRPr="00E71C94">
        <w:rPr>
          <w:rFonts w:asciiTheme="majorBidi" w:eastAsia="Calibri" w:hAnsiTheme="majorBidi" w:cs="Times New Roman"/>
          <w:sz w:val="24"/>
          <w:szCs w:val="24"/>
          <w:rtl/>
        </w:rPr>
        <w:t xml:space="preserve"> ضمن الثقافة الفنية الأوروبية في القرن التاسع عشر. فكانت تمثيلات الثقافات التي وصفت بأنها "غريبة" موضوعات شائعة في مجالات الفن والأدب والموسيقى. واستلهم العديد من الفنانين البارزين وغير البارزين، مثل موزارت </w:t>
      </w:r>
      <w:proofErr w:type="spellStart"/>
      <w:r w:rsidRPr="00E71C94">
        <w:rPr>
          <w:rFonts w:asciiTheme="majorBidi" w:eastAsia="Calibri" w:hAnsiTheme="majorBidi" w:cs="Times New Roman"/>
          <w:sz w:val="24"/>
          <w:szCs w:val="24"/>
          <w:rtl/>
        </w:rPr>
        <w:t>وفلوبير</w:t>
      </w:r>
      <w:proofErr w:type="spellEnd"/>
      <w:r w:rsidRPr="00E71C94">
        <w:rPr>
          <w:rFonts w:asciiTheme="majorBidi" w:eastAsia="Calibri" w:hAnsiTheme="majorBidi" w:cs="Times New Roman"/>
          <w:sz w:val="24"/>
          <w:szCs w:val="24"/>
          <w:rtl/>
        </w:rPr>
        <w:t xml:space="preserve"> </w:t>
      </w:r>
      <w:proofErr w:type="spellStart"/>
      <w:r w:rsidRPr="00E71C94">
        <w:rPr>
          <w:rFonts w:asciiTheme="majorBidi" w:eastAsia="Calibri" w:hAnsiTheme="majorBidi" w:cs="Times New Roman"/>
          <w:sz w:val="24"/>
          <w:szCs w:val="24"/>
          <w:rtl/>
        </w:rPr>
        <w:t>ودولاكروا</w:t>
      </w:r>
      <w:proofErr w:type="spellEnd"/>
      <w:r w:rsidRPr="00E71C94">
        <w:rPr>
          <w:rFonts w:asciiTheme="majorBidi" w:eastAsia="Calibri" w:hAnsiTheme="majorBidi" w:cs="Times New Roman"/>
          <w:sz w:val="24"/>
          <w:szCs w:val="24"/>
          <w:rtl/>
        </w:rPr>
        <w:t xml:space="preserve">، من فضاءات وزخارف واستعارات مستلهمة من الاستشراق في إنتاج أعمالهم. منذ إصدار كتاب </w:t>
      </w:r>
      <w:r w:rsidRPr="00E71C94">
        <w:rPr>
          <w:rFonts w:asciiTheme="majorBidi" w:eastAsia="Calibri" w:hAnsiTheme="majorBidi" w:cs="Times New Roman"/>
          <w:i/>
          <w:iCs/>
          <w:sz w:val="24"/>
          <w:szCs w:val="24"/>
          <w:rtl/>
        </w:rPr>
        <w:t>"الاستشراق"،</w:t>
      </w:r>
      <w:r w:rsidRPr="00E71C94">
        <w:rPr>
          <w:rFonts w:asciiTheme="majorBidi" w:eastAsia="Calibri" w:hAnsiTheme="majorBidi" w:cs="Times New Roman"/>
          <w:sz w:val="24"/>
          <w:szCs w:val="24"/>
          <w:rtl/>
        </w:rPr>
        <w:t xml:space="preserve"> وخاصة كتاب "</w:t>
      </w:r>
      <w:r w:rsidRPr="00E71C94">
        <w:rPr>
          <w:rFonts w:asciiTheme="majorBidi" w:eastAsia="Calibri" w:hAnsiTheme="majorBidi" w:cs="Times New Roman"/>
          <w:i/>
          <w:iCs/>
          <w:sz w:val="24"/>
          <w:szCs w:val="24"/>
          <w:rtl/>
        </w:rPr>
        <w:t>الثقافة والإمبريالية"</w:t>
      </w:r>
      <w:r w:rsidRPr="00E71C94">
        <w:rPr>
          <w:rFonts w:asciiTheme="majorBidi" w:eastAsia="Calibri" w:hAnsiTheme="majorBidi" w:cs="Times New Roman"/>
          <w:sz w:val="24"/>
          <w:szCs w:val="24"/>
          <w:rtl/>
        </w:rPr>
        <w:t xml:space="preserve"> (1993)، شهدت الدراسات النقدية للاستشراق كظاهرة ثقافية تطورًا كبيرًا وتحولت إلى مجال بحثي مهم. وبرزت أبحاث عديدة تناولت موضوعات متنوعة، شملت كل شيء من أفلام هوليوود إلى مظاهر الثقافة العليا، بما في ذلك الفنون، الهندسة المعمارية، المعارض الاستعمارية، الرقص، الموسيقى، الأوبرا، والتصوير الفوتوغرافي.</w:t>
      </w:r>
    </w:p>
    <w:p w14:paraId="73CEDBBA" w14:textId="77777777" w:rsidR="00D51387" w:rsidRPr="008F6A99" w:rsidRDefault="00D51387" w:rsidP="00D51387">
      <w:pPr>
        <w:jc w:val="both"/>
        <w:rPr>
          <w:rFonts w:asciiTheme="majorBidi" w:eastAsia="Calibri" w:hAnsiTheme="majorBidi" w:cstheme="majorBidi"/>
          <w:sz w:val="24"/>
          <w:szCs w:val="24"/>
          <w:rtl/>
        </w:rPr>
      </w:pPr>
      <w:r w:rsidRPr="008F6A99">
        <w:rPr>
          <w:rFonts w:asciiTheme="majorBidi" w:eastAsia="Calibri" w:hAnsiTheme="majorBidi" w:cs="Times New Roman"/>
          <w:sz w:val="24"/>
          <w:szCs w:val="24"/>
          <w:rtl/>
        </w:rPr>
        <w:t>في النهاية، اكتسب مصطلح الاستشراق بعدًا ثالثًا مع بروز حركات التحرر الوطني في القرن العشرينين. إذ رأى بعض النشطاء والباحثين القوميين أن الاستشراق كحقل أكاديمي لا يمكن فصله عن الظروف التي نشأ في ظلها، والمتمثلة في الهيمنة الإمبريالية الغربية. ومن هنا، انطلقت المناقشات حول طبيعة الاستشراق، حيث كان النقاش حاضرًا بقوة في الأوساط الناطقة بالفرنسية، خاصة في سياق النضال من أجل استقلال الجزائر، وبرز منذ البداية باعتباره سعيًا لتفكيك الاستعمار عن التاريخ.</w:t>
      </w:r>
    </w:p>
    <w:p w14:paraId="61D06242" w14:textId="77777777" w:rsidR="00D51387" w:rsidRPr="008F6A99" w:rsidRDefault="00D51387" w:rsidP="00D51387">
      <w:pPr>
        <w:jc w:val="both"/>
        <w:rPr>
          <w:rFonts w:asciiTheme="majorBidi" w:eastAsia="Calibri" w:hAnsiTheme="majorBidi" w:cstheme="majorBidi"/>
          <w:sz w:val="24"/>
          <w:szCs w:val="24"/>
          <w:rtl/>
        </w:rPr>
      </w:pPr>
      <w:r w:rsidRPr="008F6A99">
        <w:rPr>
          <w:rFonts w:asciiTheme="majorBidi" w:eastAsia="Calibri" w:hAnsiTheme="majorBidi" w:cs="Times New Roman"/>
          <w:sz w:val="24"/>
          <w:szCs w:val="24"/>
          <w:rtl/>
        </w:rPr>
        <w:t xml:space="preserve">مع ذلك، يبدو أن إدوارد سعيد وغيره من الجيل الأول من منتقدي الاستشراق لم ينجحوا في إبراز هذا النضال بشكل كافٍ. حتى أن سعيد لم يذكر </w:t>
      </w:r>
      <w:proofErr w:type="spellStart"/>
      <w:r w:rsidRPr="008F6A99">
        <w:rPr>
          <w:rFonts w:asciiTheme="majorBidi" w:eastAsia="Calibri" w:hAnsiTheme="majorBidi" w:cs="Times New Roman"/>
          <w:sz w:val="24"/>
          <w:szCs w:val="24"/>
          <w:rtl/>
        </w:rPr>
        <w:t>فرانتز</w:t>
      </w:r>
      <w:proofErr w:type="spellEnd"/>
      <w:r w:rsidRPr="008F6A99">
        <w:rPr>
          <w:rFonts w:asciiTheme="majorBidi" w:eastAsia="Calibri" w:hAnsiTheme="majorBidi" w:cs="Times New Roman"/>
          <w:sz w:val="24"/>
          <w:szCs w:val="24"/>
          <w:rtl/>
        </w:rPr>
        <w:t xml:space="preserve"> فانون إلا لاحقًا في كتابه </w:t>
      </w:r>
      <w:r w:rsidRPr="008F6A99">
        <w:rPr>
          <w:rFonts w:asciiTheme="majorBidi" w:eastAsia="Calibri" w:hAnsiTheme="majorBidi" w:cs="Times New Roman"/>
          <w:i/>
          <w:iCs/>
          <w:sz w:val="24"/>
          <w:szCs w:val="24"/>
          <w:rtl/>
        </w:rPr>
        <w:t>"الثقافة والإمبريالية".</w:t>
      </w:r>
      <w:r w:rsidRPr="008F6A99">
        <w:rPr>
          <w:rFonts w:asciiTheme="majorBidi" w:eastAsia="Calibri" w:hAnsiTheme="majorBidi" w:cs="Times New Roman"/>
          <w:sz w:val="24"/>
          <w:szCs w:val="24"/>
          <w:rtl/>
        </w:rPr>
        <w:t xml:space="preserve"> فما الذي جعل الأمر كذلك؟</w:t>
      </w:r>
    </w:p>
    <w:p w14:paraId="12566934" w14:textId="50E3E9B9" w:rsidR="00D51387" w:rsidRDefault="00D51387" w:rsidP="00D51387">
      <w:pPr>
        <w:jc w:val="both"/>
        <w:rPr>
          <w:rFonts w:asciiTheme="majorBidi" w:eastAsia="Calibri" w:hAnsiTheme="majorBidi" w:cstheme="majorBidi"/>
          <w:sz w:val="24"/>
          <w:szCs w:val="24"/>
          <w:rtl/>
        </w:rPr>
      </w:pPr>
      <w:r w:rsidRPr="008F6A99">
        <w:rPr>
          <w:rFonts w:asciiTheme="majorBidi" w:eastAsia="Calibri" w:hAnsiTheme="majorBidi" w:cs="Times New Roman"/>
          <w:sz w:val="24"/>
          <w:szCs w:val="24"/>
          <w:rtl/>
        </w:rPr>
        <w:t>هذا التساؤل يعكس تقصيرًا في النظر إلى السياقات السياسية التي أحاطت نشأة الاستشراق. فالنقد الموجه للاستشراق أغفل إلى حد بعيد تاريخه الخاص الذي يرتبط ارتباطًا وثيقًا بالنضالات المناهضة للإمبريالية خلال القرن العشرين</w:t>
      </w:r>
      <w:r>
        <w:rPr>
          <w:rFonts w:asciiTheme="majorBidi" w:eastAsia="Calibri" w:hAnsiTheme="majorBidi" w:cstheme="majorBidi" w:hint="cs"/>
          <w:sz w:val="24"/>
          <w:szCs w:val="24"/>
          <w:rtl/>
        </w:rPr>
        <w:t>.</w:t>
      </w:r>
    </w:p>
    <w:p w14:paraId="528A44EF" w14:textId="1D835FCA" w:rsidR="00D51387" w:rsidRDefault="00D51387" w:rsidP="00D51387">
      <w:pPr>
        <w:jc w:val="both"/>
        <w:rPr>
          <w:rFonts w:asciiTheme="majorBidi" w:eastAsia="Calibri" w:hAnsiTheme="majorBidi" w:cstheme="majorBidi"/>
          <w:sz w:val="24"/>
          <w:szCs w:val="24"/>
          <w:rtl/>
        </w:rPr>
      </w:pPr>
    </w:p>
    <w:p w14:paraId="53FE8F7D" w14:textId="67D396B5" w:rsidR="00D51387" w:rsidRDefault="00D51387" w:rsidP="00D51387">
      <w:pPr>
        <w:jc w:val="both"/>
        <w:rPr>
          <w:rFonts w:asciiTheme="majorBidi" w:eastAsia="Calibri" w:hAnsiTheme="majorBidi" w:cstheme="majorBidi"/>
          <w:sz w:val="24"/>
          <w:szCs w:val="24"/>
          <w:rtl/>
        </w:rPr>
      </w:pPr>
    </w:p>
    <w:p w14:paraId="3B4997F6" w14:textId="11579C06" w:rsidR="00D51387" w:rsidRDefault="00D51387" w:rsidP="00D51387">
      <w:pPr>
        <w:jc w:val="both"/>
        <w:rPr>
          <w:rFonts w:asciiTheme="majorBidi" w:eastAsia="Calibri" w:hAnsiTheme="majorBidi" w:cstheme="majorBidi"/>
          <w:sz w:val="24"/>
          <w:szCs w:val="24"/>
          <w:rtl/>
        </w:rPr>
      </w:pPr>
    </w:p>
    <w:p w14:paraId="69095BFB" w14:textId="271AA92A" w:rsidR="00D51387" w:rsidRDefault="00D51387" w:rsidP="00D51387">
      <w:pPr>
        <w:jc w:val="both"/>
        <w:rPr>
          <w:rFonts w:asciiTheme="majorBidi" w:eastAsia="Calibri" w:hAnsiTheme="majorBidi" w:cstheme="majorBidi"/>
          <w:sz w:val="24"/>
          <w:szCs w:val="24"/>
          <w:rtl/>
        </w:rPr>
      </w:pPr>
    </w:p>
    <w:p w14:paraId="44D88933" w14:textId="4214344E" w:rsidR="00D51387" w:rsidRDefault="00D51387" w:rsidP="00D51387">
      <w:pPr>
        <w:jc w:val="both"/>
        <w:rPr>
          <w:rFonts w:asciiTheme="majorBidi" w:eastAsia="Calibri" w:hAnsiTheme="majorBidi" w:cstheme="majorBidi"/>
          <w:sz w:val="24"/>
          <w:szCs w:val="24"/>
          <w:rtl/>
        </w:rPr>
      </w:pPr>
    </w:p>
    <w:p w14:paraId="1C2778D1" w14:textId="3152B3A8" w:rsidR="00D51387" w:rsidRDefault="00D51387" w:rsidP="00D51387">
      <w:pPr>
        <w:jc w:val="both"/>
        <w:rPr>
          <w:rFonts w:asciiTheme="majorBidi" w:eastAsia="Calibri" w:hAnsiTheme="majorBidi" w:cstheme="majorBidi"/>
          <w:sz w:val="24"/>
          <w:szCs w:val="24"/>
          <w:rtl/>
        </w:rPr>
      </w:pPr>
    </w:p>
    <w:p w14:paraId="5417D071" w14:textId="77777777" w:rsidR="00D51387" w:rsidRDefault="00D51387" w:rsidP="00D51387">
      <w:pPr>
        <w:rPr>
          <w:rFonts w:asciiTheme="majorBidi" w:eastAsia="Calibri" w:hAnsiTheme="majorBidi" w:cstheme="majorBidi"/>
          <w:b/>
          <w:bCs/>
          <w:sz w:val="28"/>
          <w:szCs w:val="28"/>
          <w:rtl/>
        </w:rPr>
      </w:pPr>
      <w:r w:rsidRPr="008F6A99">
        <w:rPr>
          <w:rFonts w:asciiTheme="majorBidi" w:eastAsia="Calibri" w:hAnsiTheme="majorBidi" w:cs="Times New Roman"/>
          <w:b/>
          <w:bCs/>
          <w:sz w:val="28"/>
          <w:szCs w:val="28"/>
          <w:rtl/>
        </w:rPr>
        <w:t>نقد الاستعمار والإمبريالية في الفكر البريطاني والأمريكي: من الجدل الماركسي إلى نقد الاستشراق</w:t>
      </w:r>
    </w:p>
    <w:p w14:paraId="4CC303AE" w14:textId="24051B87" w:rsidR="00D51387" w:rsidRDefault="00D51387" w:rsidP="00D51387">
      <w:pPr>
        <w:jc w:val="both"/>
        <w:rPr>
          <w:rFonts w:asciiTheme="majorBidi" w:eastAsia="Calibri" w:hAnsiTheme="majorBidi" w:cstheme="majorBidi"/>
          <w:sz w:val="24"/>
          <w:szCs w:val="24"/>
          <w:rtl/>
        </w:rPr>
      </w:pPr>
    </w:p>
    <w:p w14:paraId="26792441" w14:textId="77777777" w:rsidR="00D51387" w:rsidRPr="00380A73" w:rsidRDefault="00D51387" w:rsidP="00D51387">
      <w:pPr>
        <w:jc w:val="both"/>
        <w:rPr>
          <w:rFonts w:asciiTheme="majorBidi" w:eastAsia="Calibri" w:hAnsiTheme="majorBidi" w:cstheme="majorBidi"/>
          <w:sz w:val="24"/>
          <w:szCs w:val="24"/>
          <w:rtl/>
        </w:rPr>
      </w:pPr>
      <w:r w:rsidRPr="00FB7192">
        <w:rPr>
          <w:rFonts w:asciiTheme="majorBidi" w:eastAsia="Calibri" w:hAnsiTheme="majorBidi" w:cs="Times New Roman"/>
          <w:sz w:val="24"/>
          <w:szCs w:val="24"/>
          <w:rtl/>
        </w:rPr>
        <w:t>كان مناهضو الاستعمار البريطاني خلال خمسينيات وأوائل ستينيات القرن العشرين يملكون نقدًا مفصلًا لنظام الحكم البريطاني، لكن تركيزهم انصبّ بشكل كبير على إدانة الإمبريالية باعتبارها نظامًا متجذرًا في الرأسمالية، أو على تقديم نقد عام للعنصرية ضمن السياق الاستعماري، دون تطوير نقد منهجي خاص بالتمثيلات الاستعمارية ذاتها. وفي إطار إعادة قراءاتهم للتواريخ الاستعمارية التي دوّنها الأوروبيون، استبدل النقاد القوميون التمثيلات الاستعمارية والعنصرية بمجموعة أخرى من التمثيلات القومية، ومع ذلك، لم يتمكنوا من فهم الاستعمار باعتباره نظامًا خطابيًا متكاملًا، ولم يتطرقوا إلى دراسة أشكال المعرفة الاستعمارية بوصفها معارف مشروطة بالسياقات التاريخية التي نشأت فيها. وفي هذا السياق تحديدًا، كان تدخل إدوارد سعيد نقطة تحفيز جوهرية دفعت نحو إثارة قدر كبير من التفكير والتحليل اللاح</w:t>
      </w:r>
      <w:r>
        <w:rPr>
          <w:rFonts w:asciiTheme="majorBidi" w:eastAsia="Calibri" w:hAnsiTheme="majorBidi" w:cstheme="majorBidi" w:hint="cs"/>
          <w:sz w:val="24"/>
          <w:szCs w:val="24"/>
          <w:rtl/>
        </w:rPr>
        <w:t>ق.</w:t>
      </w:r>
    </w:p>
    <w:p w14:paraId="107095A7" w14:textId="77777777" w:rsidR="00D51387" w:rsidRDefault="00D51387" w:rsidP="00D51387">
      <w:pPr>
        <w:jc w:val="both"/>
        <w:rPr>
          <w:rFonts w:asciiTheme="majorBidi" w:eastAsia="Calibri" w:hAnsiTheme="majorBidi" w:cstheme="majorBidi"/>
          <w:sz w:val="24"/>
          <w:szCs w:val="24"/>
          <w:rtl/>
        </w:rPr>
      </w:pPr>
      <w:r w:rsidRPr="00380A73">
        <w:rPr>
          <w:rFonts w:asciiTheme="majorBidi" w:eastAsia="Calibri" w:hAnsiTheme="majorBidi" w:cs="Times New Roman"/>
          <w:sz w:val="24"/>
          <w:szCs w:val="24"/>
          <w:rtl/>
        </w:rPr>
        <w:t>عندما برز أخيرًا نقد منظم للاستعمار البريطاني في الهند، لم يتحقق ذلك خلال فترة الكفاح من أجل الاستقلال، بل جاء بعد أكثر من جيل مع صعود جماعة دراسات التابع الهندية في ثمانينيات القرن العشرين. أما في الولايات المتحدة، فقد ظل نقد الإمبريالية محدود التطور إلى أن ظهرت الحركة المناهضة لحرب فيتنام. ورغم وجود بعض تيارات المعارضة داخل أوساط اليسار، إلا أن المِزَاج العام بعد عام 1945 كان منصبًّا على التركيز على النجاح المادي والتأقلم الاجتماعي</w:t>
      </w:r>
      <w:r>
        <w:rPr>
          <w:rFonts w:asciiTheme="majorBidi" w:eastAsia="Calibri" w:hAnsiTheme="majorBidi" w:cstheme="majorBidi" w:hint="cs"/>
          <w:sz w:val="24"/>
          <w:szCs w:val="24"/>
          <w:rtl/>
        </w:rPr>
        <w:t>.</w:t>
      </w:r>
    </w:p>
    <w:p w14:paraId="4A29D872" w14:textId="77777777" w:rsidR="00D51387" w:rsidRDefault="00D51387" w:rsidP="00D51387">
      <w:pPr>
        <w:jc w:val="both"/>
        <w:rPr>
          <w:rFonts w:asciiTheme="majorBidi" w:eastAsia="Calibri" w:hAnsiTheme="majorBidi" w:cstheme="majorBidi"/>
          <w:sz w:val="24"/>
          <w:szCs w:val="24"/>
          <w:rtl/>
        </w:rPr>
      </w:pPr>
      <w:r w:rsidRPr="001C3C86">
        <w:rPr>
          <w:rFonts w:asciiTheme="majorBidi" w:eastAsia="Calibri" w:hAnsiTheme="majorBidi" w:cs="Times New Roman"/>
          <w:sz w:val="24"/>
          <w:szCs w:val="24"/>
          <w:rtl/>
        </w:rPr>
        <w:t>مع أواخر عقد الستينيات من القرن العشرين، أفضت الراديكالية السياسية والفكرية في كلٍّ من بريطانيا والولايات المتحدة، التي تغذّت من حرب فيتنام وصعود حركة الحقوق المدنية، إلى نشوء حركات تطالب بالتغيير الاجتماعي والسياسي. ومع ذلك، بقي نقد أشكال المعرفة الاستعمارية، عند ظهوره في هذين البلدين، محصورًا إلى حدّ كبير داخل مجال الأنثروبولوجيا، الذي كان عرضة بشكل خاص للنقد بسبب الارتباط الوثيق بين تاريخه وتاريخ الإمبراطورية الاستعمارية. في تلك الفترة، كان معظم النقاد متأثرين بشدة بتيارات الفكر الماركسي والمعارضة للإمبريالية. وقد توصلوا إلى أن الأنثروبولوجيا كانت مغمورة بأفكار عنصرية واستعمارية بشكل جذري، وأن مفاهيم مثل "البدائي" لم تكن سوى تغطية نظرية لتلك الأيديولوجيات المستترة.</w:t>
      </w:r>
    </w:p>
    <w:p w14:paraId="426170C5" w14:textId="77777777" w:rsidR="00D51387" w:rsidRPr="0006785F" w:rsidRDefault="00D51387" w:rsidP="00D51387">
      <w:pPr>
        <w:jc w:val="both"/>
        <w:rPr>
          <w:rFonts w:asciiTheme="majorBidi" w:eastAsia="Calibri" w:hAnsiTheme="majorBidi" w:cstheme="majorBidi"/>
          <w:color w:val="000000" w:themeColor="text1"/>
          <w:sz w:val="24"/>
          <w:szCs w:val="24"/>
          <w:rtl/>
        </w:rPr>
      </w:pPr>
      <w:r w:rsidRPr="0006785F">
        <w:rPr>
          <w:rFonts w:asciiTheme="majorBidi" w:hAnsiTheme="majorBidi" w:cstheme="majorBidi"/>
          <w:color w:val="000000" w:themeColor="text1"/>
          <w:sz w:val="24"/>
          <w:szCs w:val="24"/>
          <w:rtl/>
        </w:rPr>
        <w:t xml:space="preserve">كان </w:t>
      </w:r>
      <w:r w:rsidRPr="0006785F">
        <w:rPr>
          <w:rStyle w:val="diff--ux1av"/>
          <w:rFonts w:asciiTheme="majorBidi" w:hAnsiTheme="majorBidi" w:cstheme="majorBidi"/>
          <w:color w:val="000000" w:themeColor="text1"/>
          <w:sz w:val="24"/>
          <w:szCs w:val="24"/>
          <w:rtl/>
        </w:rPr>
        <w:t>مج</w:t>
      </w:r>
      <w:r w:rsidRPr="0006785F">
        <w:rPr>
          <w:rFonts w:asciiTheme="majorBidi" w:hAnsiTheme="majorBidi" w:cstheme="majorBidi"/>
          <w:color w:val="000000" w:themeColor="text1"/>
          <w:sz w:val="24"/>
          <w:szCs w:val="24"/>
          <w:rtl/>
        </w:rPr>
        <w:t xml:space="preserve">ال </w:t>
      </w:r>
      <w:r w:rsidRPr="0006785F">
        <w:rPr>
          <w:rStyle w:val="diff--ux1av"/>
          <w:rFonts w:asciiTheme="majorBidi" w:hAnsiTheme="majorBidi" w:cstheme="majorBidi"/>
          <w:color w:val="000000" w:themeColor="text1"/>
          <w:sz w:val="24"/>
          <w:szCs w:val="24"/>
          <w:rtl/>
        </w:rPr>
        <w:t xml:space="preserve">التاريخ هو </w:t>
      </w:r>
      <w:r w:rsidRPr="0006785F">
        <w:rPr>
          <w:rFonts w:asciiTheme="majorBidi" w:hAnsiTheme="majorBidi" w:cstheme="majorBidi"/>
          <w:color w:val="000000" w:themeColor="text1"/>
          <w:sz w:val="24"/>
          <w:szCs w:val="24"/>
          <w:rtl/>
        </w:rPr>
        <w:t>الآخر مفت</w:t>
      </w:r>
      <w:r w:rsidRPr="0006785F">
        <w:rPr>
          <w:rStyle w:val="diff--ux1av"/>
          <w:rFonts w:asciiTheme="majorBidi" w:hAnsiTheme="majorBidi" w:cstheme="majorBidi"/>
          <w:color w:val="000000" w:themeColor="text1"/>
          <w:sz w:val="24"/>
          <w:szCs w:val="24"/>
          <w:rtl/>
        </w:rPr>
        <w:t>و</w:t>
      </w:r>
      <w:r w:rsidRPr="0006785F">
        <w:rPr>
          <w:rFonts w:asciiTheme="majorBidi" w:hAnsiTheme="majorBidi" w:cstheme="majorBidi"/>
          <w:color w:val="000000" w:themeColor="text1"/>
          <w:sz w:val="24"/>
          <w:szCs w:val="24"/>
          <w:rtl/>
        </w:rPr>
        <w:t>ح</w:t>
      </w:r>
      <w:r w:rsidRPr="0006785F">
        <w:rPr>
          <w:rStyle w:val="diff--ux1av"/>
          <w:rFonts w:asciiTheme="majorBidi" w:hAnsiTheme="majorBidi" w:cstheme="majorBidi"/>
          <w:color w:val="000000" w:themeColor="text1"/>
          <w:sz w:val="24"/>
          <w:szCs w:val="24"/>
          <w:rtl/>
        </w:rPr>
        <w:t>ًا</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tl/>
        </w:rPr>
        <w:t>أمام</w:t>
      </w:r>
      <w:r w:rsidRPr="0006785F">
        <w:rPr>
          <w:rFonts w:asciiTheme="majorBidi" w:hAnsiTheme="majorBidi" w:cstheme="majorBidi"/>
          <w:color w:val="000000" w:themeColor="text1"/>
          <w:sz w:val="24"/>
          <w:szCs w:val="24"/>
          <w:rtl/>
        </w:rPr>
        <w:t xml:space="preserve"> التيارات الفكرية الراديكالية</w:t>
      </w:r>
      <w:r w:rsidRPr="0006785F">
        <w:rPr>
          <w:rStyle w:val="diff--ux1av"/>
          <w:rFonts w:asciiTheme="majorBidi" w:hAnsiTheme="majorBidi" w:cstheme="majorBidi"/>
          <w:color w:val="000000" w:themeColor="text1"/>
          <w:sz w:val="24"/>
          <w:szCs w:val="24"/>
        </w:rPr>
        <w:t>.</w:t>
      </w:r>
      <w:r w:rsidRPr="0006785F">
        <w:rPr>
          <w:rFonts w:asciiTheme="majorBidi" w:hAnsiTheme="majorBidi" w:cstheme="majorBidi"/>
          <w:color w:val="000000" w:themeColor="text1"/>
          <w:sz w:val="24"/>
          <w:szCs w:val="24"/>
        </w:rPr>
        <w:t xml:space="preserve"> </w:t>
      </w:r>
      <w:r w:rsidRPr="0006785F">
        <w:rPr>
          <w:rFonts w:asciiTheme="majorBidi" w:hAnsiTheme="majorBidi" w:cstheme="majorBidi"/>
          <w:color w:val="000000" w:themeColor="text1"/>
          <w:sz w:val="24"/>
          <w:szCs w:val="24"/>
          <w:rtl/>
        </w:rPr>
        <w:t>و</w:t>
      </w:r>
      <w:r w:rsidRPr="0006785F">
        <w:rPr>
          <w:rStyle w:val="diff--ux1av"/>
          <w:rFonts w:asciiTheme="majorBidi" w:hAnsiTheme="majorBidi" w:cstheme="majorBidi"/>
          <w:color w:val="000000" w:themeColor="text1"/>
          <w:sz w:val="24"/>
          <w:szCs w:val="24"/>
          <w:rtl/>
        </w:rPr>
        <w:t>ع</w:t>
      </w:r>
      <w:r w:rsidRPr="0006785F">
        <w:rPr>
          <w:rFonts w:asciiTheme="majorBidi" w:hAnsiTheme="majorBidi" w:cstheme="majorBidi"/>
          <w:color w:val="000000" w:themeColor="text1"/>
          <w:sz w:val="24"/>
          <w:szCs w:val="24"/>
          <w:rtl/>
        </w:rPr>
        <w:t>ل</w:t>
      </w:r>
      <w:r w:rsidRPr="0006785F">
        <w:rPr>
          <w:rStyle w:val="diff--ux1av"/>
          <w:rFonts w:asciiTheme="majorBidi" w:hAnsiTheme="majorBidi" w:cstheme="majorBidi"/>
          <w:color w:val="000000" w:themeColor="text1"/>
          <w:sz w:val="24"/>
          <w:szCs w:val="24"/>
          <w:rtl/>
        </w:rPr>
        <w:t xml:space="preserve">ى </w:t>
      </w:r>
      <w:r w:rsidRPr="0006785F">
        <w:rPr>
          <w:rFonts w:asciiTheme="majorBidi" w:hAnsiTheme="majorBidi" w:cstheme="majorBidi"/>
          <w:color w:val="000000" w:themeColor="text1"/>
          <w:sz w:val="24"/>
          <w:szCs w:val="24"/>
          <w:rtl/>
        </w:rPr>
        <w:t>ا</w:t>
      </w:r>
      <w:r w:rsidRPr="0006785F">
        <w:rPr>
          <w:rStyle w:val="diff--ux1av"/>
          <w:rFonts w:asciiTheme="majorBidi" w:hAnsiTheme="majorBidi" w:cstheme="majorBidi"/>
          <w:color w:val="000000" w:themeColor="text1"/>
          <w:sz w:val="24"/>
          <w:szCs w:val="24"/>
          <w:rtl/>
        </w:rPr>
        <w:t>ل</w:t>
      </w:r>
      <w:r w:rsidRPr="0006785F">
        <w:rPr>
          <w:rFonts w:asciiTheme="majorBidi" w:hAnsiTheme="majorBidi" w:cstheme="majorBidi"/>
          <w:color w:val="000000" w:themeColor="text1"/>
          <w:sz w:val="24"/>
          <w:szCs w:val="24"/>
          <w:rtl/>
        </w:rPr>
        <w:t>ر</w:t>
      </w:r>
      <w:r w:rsidRPr="0006785F">
        <w:rPr>
          <w:rStyle w:val="diff--ux1av"/>
          <w:rFonts w:asciiTheme="majorBidi" w:hAnsiTheme="majorBidi" w:cstheme="majorBidi"/>
          <w:color w:val="000000" w:themeColor="text1"/>
          <w:sz w:val="24"/>
          <w:szCs w:val="24"/>
          <w:rtl/>
        </w:rPr>
        <w:t>غم</w:t>
      </w:r>
      <w:r w:rsidRPr="0006785F">
        <w:rPr>
          <w:rFonts w:asciiTheme="majorBidi" w:hAnsiTheme="majorBidi" w:cstheme="majorBidi"/>
          <w:color w:val="000000" w:themeColor="text1"/>
          <w:sz w:val="24"/>
          <w:szCs w:val="24"/>
          <w:rtl/>
        </w:rPr>
        <w:t xml:space="preserve"> م</w:t>
      </w:r>
      <w:r w:rsidRPr="0006785F">
        <w:rPr>
          <w:rStyle w:val="diff--ux1av"/>
          <w:rFonts w:asciiTheme="majorBidi" w:hAnsiTheme="majorBidi" w:cstheme="majorBidi"/>
          <w:color w:val="000000" w:themeColor="text1"/>
          <w:sz w:val="24"/>
          <w:szCs w:val="24"/>
          <w:rtl/>
        </w:rPr>
        <w:t>ن</w:t>
      </w:r>
      <w:r w:rsidRPr="0006785F">
        <w:rPr>
          <w:rFonts w:asciiTheme="majorBidi" w:hAnsiTheme="majorBidi" w:cstheme="majorBidi"/>
          <w:color w:val="000000" w:themeColor="text1"/>
          <w:sz w:val="24"/>
          <w:szCs w:val="24"/>
          <w:rtl/>
        </w:rPr>
        <w:t xml:space="preserve"> تأثّره بالماركسية</w:t>
      </w:r>
      <w:r w:rsidRPr="0006785F">
        <w:rPr>
          <w:rStyle w:val="diff--ux1av"/>
          <w:rFonts w:asciiTheme="majorBidi" w:hAnsiTheme="majorBidi" w:cstheme="majorBidi"/>
          <w:color w:val="000000" w:themeColor="text1"/>
          <w:sz w:val="24"/>
          <w:szCs w:val="24"/>
          <w:rtl/>
        </w:rPr>
        <w:t xml:space="preserve">، </w:t>
      </w:r>
      <w:r w:rsidRPr="0006785F">
        <w:rPr>
          <w:rFonts w:asciiTheme="majorBidi" w:hAnsiTheme="majorBidi" w:cstheme="majorBidi"/>
          <w:color w:val="000000" w:themeColor="text1"/>
          <w:sz w:val="24"/>
          <w:szCs w:val="24"/>
          <w:rtl/>
        </w:rPr>
        <w:t xml:space="preserve">لا سيما </w:t>
      </w:r>
      <w:r w:rsidRPr="0006785F">
        <w:rPr>
          <w:rStyle w:val="diff--ux1av"/>
          <w:rFonts w:asciiTheme="majorBidi" w:hAnsiTheme="majorBidi" w:cstheme="majorBidi"/>
          <w:color w:val="000000" w:themeColor="text1"/>
          <w:sz w:val="24"/>
          <w:szCs w:val="24"/>
          <w:rtl/>
        </w:rPr>
        <w:t>ضمن</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tl/>
        </w:rPr>
        <w:t>إط</w:t>
      </w:r>
      <w:r w:rsidRPr="0006785F">
        <w:rPr>
          <w:rFonts w:asciiTheme="majorBidi" w:hAnsiTheme="majorBidi" w:cstheme="majorBidi"/>
          <w:color w:val="000000" w:themeColor="text1"/>
          <w:sz w:val="24"/>
          <w:szCs w:val="24"/>
          <w:rtl/>
        </w:rPr>
        <w:t xml:space="preserve">ار </w:t>
      </w:r>
      <w:r w:rsidRPr="0006785F">
        <w:rPr>
          <w:rStyle w:val="diff--ux1av"/>
          <w:rFonts w:asciiTheme="majorBidi" w:hAnsiTheme="majorBidi" w:cstheme="majorBidi"/>
          <w:color w:val="000000" w:themeColor="text1"/>
          <w:sz w:val="24"/>
          <w:szCs w:val="24"/>
        </w:rPr>
        <w:t>"</w:t>
      </w:r>
      <w:r w:rsidRPr="0006785F">
        <w:rPr>
          <w:rStyle w:val="diff--ux1av"/>
          <w:rFonts w:asciiTheme="majorBidi" w:hAnsiTheme="majorBidi" w:cstheme="majorBidi"/>
          <w:color w:val="000000" w:themeColor="text1"/>
          <w:sz w:val="24"/>
          <w:szCs w:val="24"/>
          <w:rtl/>
        </w:rPr>
        <w:t xml:space="preserve">التاريخ </w:t>
      </w:r>
      <w:r w:rsidRPr="0006785F">
        <w:rPr>
          <w:rFonts w:asciiTheme="majorBidi" w:hAnsiTheme="majorBidi" w:cstheme="majorBidi"/>
          <w:color w:val="000000" w:themeColor="text1"/>
          <w:sz w:val="24"/>
          <w:szCs w:val="24"/>
          <w:rtl/>
        </w:rPr>
        <w:t>الاجتماعي الجديد</w:t>
      </w:r>
      <w:r w:rsidRPr="0006785F">
        <w:rPr>
          <w:rStyle w:val="diff--ux1av"/>
          <w:rFonts w:asciiTheme="majorBidi" w:hAnsiTheme="majorBidi" w:cstheme="majorBidi"/>
          <w:color w:val="000000" w:themeColor="text1"/>
          <w:sz w:val="24"/>
          <w:szCs w:val="24"/>
        </w:rPr>
        <w:t>"</w:t>
      </w:r>
      <w:r w:rsidRPr="0006785F">
        <w:rPr>
          <w:rStyle w:val="diff--ux1av"/>
          <w:rFonts w:asciiTheme="majorBidi" w:hAnsiTheme="majorBidi" w:cstheme="majorBidi"/>
          <w:color w:val="000000" w:themeColor="text1"/>
          <w:sz w:val="24"/>
          <w:szCs w:val="24"/>
          <w:rtl/>
        </w:rPr>
        <w:t>،</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tl/>
        </w:rPr>
        <w:t xml:space="preserve">وتفاعله مع النقد </w:t>
      </w:r>
      <w:r w:rsidRPr="0006785F">
        <w:rPr>
          <w:rFonts w:asciiTheme="majorBidi" w:hAnsiTheme="majorBidi" w:cstheme="majorBidi"/>
          <w:color w:val="000000" w:themeColor="text1"/>
          <w:sz w:val="24"/>
          <w:szCs w:val="24"/>
          <w:rtl/>
        </w:rPr>
        <w:t xml:space="preserve">القومي للإمبريالية، </w:t>
      </w:r>
      <w:r w:rsidRPr="0006785F">
        <w:rPr>
          <w:rStyle w:val="diff--ux1av"/>
          <w:rFonts w:asciiTheme="majorBidi" w:hAnsiTheme="majorBidi" w:cstheme="majorBidi"/>
          <w:color w:val="000000" w:themeColor="text1"/>
          <w:sz w:val="24"/>
          <w:szCs w:val="24"/>
          <w:rtl/>
        </w:rPr>
        <w:t>خص</w:t>
      </w:r>
      <w:r w:rsidRPr="0006785F">
        <w:rPr>
          <w:rFonts w:asciiTheme="majorBidi" w:hAnsiTheme="majorBidi" w:cstheme="majorBidi"/>
          <w:color w:val="000000" w:themeColor="text1"/>
          <w:sz w:val="24"/>
          <w:szCs w:val="24"/>
          <w:rtl/>
        </w:rPr>
        <w:t>و</w:t>
      </w:r>
      <w:r w:rsidRPr="0006785F">
        <w:rPr>
          <w:rStyle w:val="diff--ux1av"/>
          <w:rFonts w:asciiTheme="majorBidi" w:hAnsiTheme="majorBidi" w:cstheme="majorBidi"/>
          <w:color w:val="000000" w:themeColor="text1"/>
          <w:sz w:val="24"/>
          <w:szCs w:val="24"/>
          <w:rtl/>
        </w:rPr>
        <w:t>صً</w:t>
      </w:r>
      <w:r w:rsidRPr="0006785F">
        <w:rPr>
          <w:rFonts w:asciiTheme="majorBidi" w:hAnsiTheme="majorBidi" w:cstheme="majorBidi"/>
          <w:color w:val="000000" w:themeColor="text1"/>
          <w:sz w:val="24"/>
          <w:szCs w:val="24"/>
          <w:rtl/>
        </w:rPr>
        <w:t xml:space="preserve">ا في </w:t>
      </w:r>
      <w:r w:rsidRPr="0006785F">
        <w:rPr>
          <w:rStyle w:val="diff--ux1av"/>
          <w:rFonts w:asciiTheme="majorBidi" w:hAnsiTheme="majorBidi" w:cstheme="majorBidi"/>
          <w:color w:val="000000" w:themeColor="text1"/>
          <w:sz w:val="24"/>
          <w:szCs w:val="24"/>
          <w:rtl/>
        </w:rPr>
        <w:t>سي</w:t>
      </w:r>
      <w:r w:rsidRPr="0006785F">
        <w:rPr>
          <w:rFonts w:asciiTheme="majorBidi" w:hAnsiTheme="majorBidi" w:cstheme="majorBidi"/>
          <w:color w:val="000000" w:themeColor="text1"/>
          <w:sz w:val="24"/>
          <w:szCs w:val="24"/>
          <w:rtl/>
        </w:rPr>
        <w:t>ا</w:t>
      </w:r>
      <w:r w:rsidRPr="0006785F">
        <w:rPr>
          <w:rStyle w:val="diff--ux1av"/>
          <w:rFonts w:asciiTheme="majorBidi" w:hAnsiTheme="majorBidi" w:cstheme="majorBidi"/>
          <w:color w:val="000000" w:themeColor="text1"/>
          <w:sz w:val="24"/>
          <w:szCs w:val="24"/>
          <w:rtl/>
        </w:rPr>
        <w:t>قات</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tl/>
        </w:rPr>
        <w:t xml:space="preserve">تاريخ </w:t>
      </w:r>
      <w:r w:rsidRPr="0006785F">
        <w:rPr>
          <w:rFonts w:asciiTheme="majorBidi" w:hAnsiTheme="majorBidi" w:cstheme="majorBidi"/>
          <w:color w:val="000000" w:themeColor="text1"/>
          <w:sz w:val="24"/>
          <w:szCs w:val="24"/>
          <w:rtl/>
        </w:rPr>
        <w:t xml:space="preserve">بلدان العالم الثالث، </w:t>
      </w:r>
      <w:r w:rsidRPr="0006785F">
        <w:rPr>
          <w:rStyle w:val="diff--ux1av"/>
          <w:rFonts w:asciiTheme="majorBidi" w:hAnsiTheme="majorBidi" w:cstheme="majorBidi"/>
          <w:color w:val="000000" w:themeColor="text1"/>
          <w:sz w:val="24"/>
          <w:szCs w:val="24"/>
          <w:rtl/>
        </w:rPr>
        <w:t>إ</w:t>
      </w:r>
      <w:r w:rsidRPr="0006785F">
        <w:rPr>
          <w:rFonts w:asciiTheme="majorBidi" w:hAnsiTheme="majorBidi" w:cstheme="majorBidi"/>
          <w:color w:val="000000" w:themeColor="text1"/>
          <w:sz w:val="24"/>
          <w:szCs w:val="24"/>
          <w:rtl/>
        </w:rPr>
        <w:t>ل</w:t>
      </w:r>
      <w:r w:rsidRPr="0006785F">
        <w:rPr>
          <w:rStyle w:val="diff--ux1av"/>
          <w:rFonts w:asciiTheme="majorBidi" w:hAnsiTheme="majorBidi" w:cstheme="majorBidi"/>
          <w:color w:val="000000" w:themeColor="text1"/>
          <w:sz w:val="24"/>
          <w:szCs w:val="24"/>
          <w:rtl/>
        </w:rPr>
        <w:t>ا</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tl/>
        </w:rPr>
        <w:t xml:space="preserve">أن </w:t>
      </w:r>
      <w:r w:rsidRPr="0006785F">
        <w:rPr>
          <w:rFonts w:asciiTheme="majorBidi" w:hAnsiTheme="majorBidi" w:cstheme="majorBidi"/>
          <w:color w:val="000000" w:themeColor="text1"/>
          <w:sz w:val="24"/>
          <w:szCs w:val="24"/>
          <w:rtl/>
        </w:rPr>
        <w:t>التاريخ بصف</w:t>
      </w:r>
      <w:r w:rsidRPr="0006785F">
        <w:rPr>
          <w:rStyle w:val="diff--ux1av"/>
          <w:rFonts w:asciiTheme="majorBidi" w:hAnsiTheme="majorBidi" w:cstheme="majorBidi"/>
          <w:color w:val="000000" w:themeColor="text1"/>
          <w:sz w:val="24"/>
          <w:szCs w:val="24"/>
          <w:rtl/>
        </w:rPr>
        <w:t>ت</w:t>
      </w:r>
      <w:r w:rsidRPr="0006785F">
        <w:rPr>
          <w:rFonts w:asciiTheme="majorBidi" w:hAnsiTheme="majorBidi" w:cstheme="majorBidi"/>
          <w:color w:val="000000" w:themeColor="text1"/>
          <w:sz w:val="24"/>
          <w:szCs w:val="24"/>
          <w:rtl/>
        </w:rPr>
        <w:t xml:space="preserve">ه </w:t>
      </w:r>
      <w:r w:rsidRPr="0006785F">
        <w:rPr>
          <w:rStyle w:val="diff--ux1av"/>
          <w:rFonts w:asciiTheme="majorBidi" w:hAnsiTheme="majorBidi" w:cstheme="majorBidi"/>
          <w:color w:val="000000" w:themeColor="text1"/>
          <w:sz w:val="24"/>
          <w:szCs w:val="24"/>
          <w:rtl/>
        </w:rPr>
        <w:t>مجال</w:t>
      </w:r>
      <w:r w:rsidRPr="0006785F">
        <w:rPr>
          <w:rFonts w:asciiTheme="majorBidi" w:hAnsiTheme="majorBidi" w:cstheme="majorBidi"/>
          <w:color w:val="000000" w:themeColor="text1"/>
          <w:sz w:val="24"/>
          <w:szCs w:val="24"/>
          <w:rtl/>
        </w:rPr>
        <w:t xml:space="preserve">ًا </w:t>
      </w:r>
      <w:r w:rsidRPr="0006785F">
        <w:rPr>
          <w:rStyle w:val="diff--ux1av"/>
          <w:rFonts w:asciiTheme="majorBidi" w:hAnsiTheme="majorBidi" w:cstheme="majorBidi"/>
          <w:color w:val="000000" w:themeColor="text1"/>
          <w:sz w:val="24"/>
          <w:szCs w:val="24"/>
          <w:rtl/>
        </w:rPr>
        <w:t xml:space="preserve">أكاديميًا ظل متمسكًا </w:t>
      </w:r>
      <w:r w:rsidRPr="0006785F">
        <w:rPr>
          <w:rFonts w:asciiTheme="majorBidi" w:hAnsiTheme="majorBidi" w:cstheme="majorBidi"/>
          <w:color w:val="000000" w:themeColor="text1"/>
          <w:sz w:val="24"/>
          <w:szCs w:val="24"/>
          <w:rtl/>
        </w:rPr>
        <w:t xml:space="preserve">بالأمّة </w:t>
      </w:r>
      <w:r w:rsidRPr="0006785F">
        <w:rPr>
          <w:rStyle w:val="diff--ux1av"/>
          <w:rFonts w:asciiTheme="majorBidi" w:hAnsiTheme="majorBidi" w:cstheme="majorBidi"/>
          <w:color w:val="000000" w:themeColor="text1"/>
          <w:sz w:val="24"/>
          <w:szCs w:val="24"/>
          <w:rtl/>
        </w:rPr>
        <w:t>ك</w:t>
      </w:r>
      <w:r w:rsidRPr="0006785F">
        <w:rPr>
          <w:rFonts w:asciiTheme="majorBidi" w:hAnsiTheme="majorBidi" w:cstheme="majorBidi"/>
          <w:color w:val="000000" w:themeColor="text1"/>
          <w:sz w:val="24"/>
          <w:szCs w:val="24"/>
          <w:rtl/>
        </w:rPr>
        <w:t xml:space="preserve">إطار </w:t>
      </w:r>
      <w:r w:rsidRPr="0006785F">
        <w:rPr>
          <w:rStyle w:val="diff--ux1av"/>
          <w:rFonts w:asciiTheme="majorBidi" w:hAnsiTheme="majorBidi" w:cstheme="majorBidi"/>
          <w:color w:val="000000" w:themeColor="text1"/>
          <w:sz w:val="24"/>
          <w:szCs w:val="24"/>
          <w:rtl/>
        </w:rPr>
        <w:t>أس</w:t>
      </w:r>
      <w:r w:rsidRPr="0006785F">
        <w:rPr>
          <w:rFonts w:asciiTheme="majorBidi" w:hAnsiTheme="majorBidi" w:cstheme="majorBidi"/>
          <w:color w:val="000000" w:themeColor="text1"/>
          <w:sz w:val="24"/>
          <w:szCs w:val="24"/>
          <w:rtl/>
        </w:rPr>
        <w:t>اس</w:t>
      </w:r>
      <w:r w:rsidRPr="0006785F">
        <w:rPr>
          <w:rStyle w:val="diff--ux1av"/>
          <w:rFonts w:asciiTheme="majorBidi" w:hAnsiTheme="majorBidi" w:cstheme="majorBidi"/>
          <w:color w:val="000000" w:themeColor="text1"/>
          <w:sz w:val="24"/>
          <w:szCs w:val="24"/>
          <w:rtl/>
        </w:rPr>
        <w:t>ي</w:t>
      </w:r>
      <w:r w:rsidRPr="0006785F">
        <w:rPr>
          <w:rFonts w:asciiTheme="majorBidi" w:hAnsiTheme="majorBidi" w:cstheme="majorBidi"/>
          <w:color w:val="000000" w:themeColor="text1"/>
          <w:sz w:val="24"/>
          <w:szCs w:val="24"/>
          <w:rtl/>
        </w:rPr>
        <w:t xml:space="preserve"> للتحليل، م</w:t>
      </w:r>
      <w:r w:rsidRPr="0006785F">
        <w:rPr>
          <w:rStyle w:val="diff--ux1av"/>
          <w:rFonts w:asciiTheme="majorBidi" w:hAnsiTheme="majorBidi" w:cstheme="majorBidi"/>
          <w:color w:val="000000" w:themeColor="text1"/>
          <w:sz w:val="24"/>
          <w:szCs w:val="24"/>
          <w:rtl/>
        </w:rPr>
        <w:t>ع</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tl/>
        </w:rPr>
        <w:t>م</w:t>
      </w:r>
      <w:r w:rsidRPr="0006785F">
        <w:rPr>
          <w:rFonts w:asciiTheme="majorBidi" w:hAnsiTheme="majorBidi" w:cstheme="majorBidi"/>
          <w:color w:val="000000" w:themeColor="text1"/>
          <w:sz w:val="24"/>
          <w:szCs w:val="24"/>
          <w:rtl/>
        </w:rPr>
        <w:t>ي</w:t>
      </w:r>
      <w:r w:rsidRPr="0006785F">
        <w:rPr>
          <w:rStyle w:val="diff--ux1av"/>
          <w:rFonts w:asciiTheme="majorBidi" w:hAnsiTheme="majorBidi" w:cstheme="majorBidi"/>
          <w:color w:val="000000" w:themeColor="text1"/>
          <w:sz w:val="24"/>
          <w:szCs w:val="24"/>
          <w:rtl/>
        </w:rPr>
        <w:t>ل</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tl/>
        </w:rPr>
        <w:t xml:space="preserve">واضح نحو </w:t>
      </w:r>
      <w:r w:rsidRPr="0006785F">
        <w:rPr>
          <w:rFonts w:asciiTheme="majorBidi" w:hAnsiTheme="majorBidi" w:cstheme="majorBidi"/>
          <w:color w:val="000000" w:themeColor="text1"/>
          <w:sz w:val="24"/>
          <w:szCs w:val="24"/>
          <w:rtl/>
        </w:rPr>
        <w:t>تقديس المصادر المكتوبة. وقد أ</w:t>
      </w:r>
      <w:r w:rsidRPr="0006785F">
        <w:rPr>
          <w:rStyle w:val="diff--ux1av"/>
          <w:rFonts w:asciiTheme="majorBidi" w:hAnsiTheme="majorBidi" w:cstheme="majorBidi"/>
          <w:color w:val="000000" w:themeColor="text1"/>
          <w:sz w:val="24"/>
          <w:szCs w:val="24"/>
          <w:rtl/>
        </w:rPr>
        <w:t>سهم</w:t>
      </w:r>
      <w:r w:rsidRPr="0006785F">
        <w:rPr>
          <w:rFonts w:asciiTheme="majorBidi" w:hAnsiTheme="majorBidi" w:cstheme="majorBidi"/>
          <w:color w:val="000000" w:themeColor="text1"/>
          <w:sz w:val="24"/>
          <w:szCs w:val="24"/>
          <w:rtl/>
        </w:rPr>
        <w:t>ت هاتان ال</w:t>
      </w:r>
      <w:r w:rsidRPr="0006785F">
        <w:rPr>
          <w:rStyle w:val="diff--ux1av"/>
          <w:rFonts w:asciiTheme="majorBidi" w:hAnsiTheme="majorBidi" w:cstheme="majorBidi"/>
          <w:color w:val="000000" w:themeColor="text1"/>
          <w:sz w:val="24"/>
          <w:szCs w:val="24"/>
          <w:rtl/>
        </w:rPr>
        <w:t>سم</w:t>
      </w:r>
      <w:r w:rsidRPr="0006785F">
        <w:rPr>
          <w:rFonts w:asciiTheme="majorBidi" w:hAnsiTheme="majorBidi" w:cstheme="majorBidi"/>
          <w:color w:val="000000" w:themeColor="text1"/>
          <w:sz w:val="24"/>
          <w:szCs w:val="24"/>
          <w:rtl/>
        </w:rPr>
        <w:t xml:space="preserve">تان </w:t>
      </w:r>
      <w:r w:rsidRPr="0006785F">
        <w:rPr>
          <w:rStyle w:val="diff--ux1av"/>
          <w:rFonts w:asciiTheme="majorBidi" w:hAnsiTheme="majorBidi" w:cstheme="majorBidi"/>
          <w:color w:val="000000" w:themeColor="text1"/>
          <w:sz w:val="24"/>
          <w:szCs w:val="24"/>
          <w:rtl/>
        </w:rPr>
        <w:t>في</w:t>
      </w:r>
      <w:r w:rsidRPr="0006785F">
        <w:rPr>
          <w:rFonts w:asciiTheme="majorBidi" w:hAnsiTheme="majorBidi" w:cstheme="majorBidi"/>
          <w:color w:val="000000" w:themeColor="text1"/>
          <w:sz w:val="24"/>
          <w:szCs w:val="24"/>
          <w:rtl/>
        </w:rPr>
        <w:t xml:space="preserve"> الحد من تأثير الانتقادات الراديكالية ال</w:t>
      </w:r>
      <w:r w:rsidRPr="0006785F">
        <w:rPr>
          <w:rStyle w:val="diff--ux1av"/>
          <w:rFonts w:asciiTheme="majorBidi" w:hAnsiTheme="majorBidi" w:cstheme="majorBidi"/>
          <w:color w:val="000000" w:themeColor="text1"/>
          <w:sz w:val="24"/>
          <w:szCs w:val="24"/>
          <w:rtl/>
        </w:rPr>
        <w:t>عابرة</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tl/>
        </w:rPr>
        <w:t>للحد</w:t>
      </w:r>
      <w:r w:rsidRPr="0006785F">
        <w:rPr>
          <w:rFonts w:asciiTheme="majorBidi" w:hAnsiTheme="majorBidi" w:cstheme="majorBidi"/>
          <w:color w:val="000000" w:themeColor="text1"/>
          <w:sz w:val="24"/>
          <w:szCs w:val="24"/>
          <w:rtl/>
        </w:rPr>
        <w:t xml:space="preserve">ود القومية. أما </w:t>
      </w:r>
      <w:r w:rsidRPr="0006785F">
        <w:rPr>
          <w:rStyle w:val="diff--ux1av"/>
          <w:rFonts w:asciiTheme="majorBidi" w:hAnsiTheme="majorBidi" w:cstheme="majorBidi"/>
          <w:color w:val="000000" w:themeColor="text1"/>
          <w:sz w:val="24"/>
          <w:szCs w:val="24"/>
          <w:rtl/>
        </w:rPr>
        <w:t>ب</w:t>
      </w:r>
      <w:r w:rsidRPr="0006785F">
        <w:rPr>
          <w:rFonts w:asciiTheme="majorBidi" w:hAnsiTheme="majorBidi" w:cstheme="majorBidi"/>
          <w:color w:val="000000" w:themeColor="text1"/>
          <w:sz w:val="24"/>
          <w:szCs w:val="24"/>
          <w:rtl/>
        </w:rPr>
        <w:t>ال</w:t>
      </w:r>
      <w:r w:rsidRPr="0006785F">
        <w:rPr>
          <w:rStyle w:val="diff--ux1av"/>
          <w:rFonts w:asciiTheme="majorBidi" w:hAnsiTheme="majorBidi" w:cstheme="majorBidi"/>
          <w:color w:val="000000" w:themeColor="text1"/>
          <w:sz w:val="24"/>
          <w:szCs w:val="24"/>
          <w:rtl/>
        </w:rPr>
        <w:t>ن</w:t>
      </w:r>
      <w:r w:rsidRPr="0006785F">
        <w:rPr>
          <w:rFonts w:asciiTheme="majorBidi" w:hAnsiTheme="majorBidi" w:cstheme="majorBidi"/>
          <w:color w:val="000000" w:themeColor="text1"/>
          <w:sz w:val="24"/>
          <w:szCs w:val="24"/>
          <w:rtl/>
        </w:rPr>
        <w:t>س</w:t>
      </w:r>
      <w:r w:rsidRPr="0006785F">
        <w:rPr>
          <w:rStyle w:val="diff--ux1av"/>
          <w:rFonts w:asciiTheme="majorBidi" w:hAnsiTheme="majorBidi" w:cstheme="majorBidi"/>
          <w:color w:val="000000" w:themeColor="text1"/>
          <w:sz w:val="24"/>
          <w:szCs w:val="24"/>
          <w:rtl/>
        </w:rPr>
        <w:t>بة</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tl/>
        </w:rPr>
        <w:t>ل</w:t>
      </w:r>
      <w:r w:rsidRPr="0006785F">
        <w:rPr>
          <w:rFonts w:asciiTheme="majorBidi" w:hAnsiTheme="majorBidi" w:cstheme="majorBidi"/>
          <w:color w:val="000000" w:themeColor="text1"/>
          <w:sz w:val="24"/>
          <w:szCs w:val="24"/>
          <w:rtl/>
        </w:rPr>
        <w:t>لد</w:t>
      </w:r>
      <w:r w:rsidRPr="0006785F">
        <w:rPr>
          <w:rStyle w:val="diff--ux1av"/>
          <w:rFonts w:asciiTheme="majorBidi" w:hAnsiTheme="majorBidi" w:cstheme="majorBidi"/>
          <w:color w:val="000000" w:themeColor="text1"/>
          <w:sz w:val="24"/>
          <w:szCs w:val="24"/>
          <w:rtl/>
        </w:rPr>
        <w:t>راسات</w:t>
      </w:r>
      <w:r w:rsidRPr="0006785F">
        <w:rPr>
          <w:rFonts w:asciiTheme="majorBidi" w:hAnsiTheme="majorBidi" w:cstheme="majorBidi"/>
          <w:color w:val="000000" w:themeColor="text1"/>
          <w:sz w:val="24"/>
          <w:szCs w:val="24"/>
          <w:rtl/>
        </w:rPr>
        <w:t xml:space="preserve"> ا</w:t>
      </w:r>
      <w:r w:rsidRPr="0006785F">
        <w:rPr>
          <w:rStyle w:val="diff--ux1av"/>
          <w:rFonts w:asciiTheme="majorBidi" w:hAnsiTheme="majorBidi" w:cstheme="majorBidi"/>
          <w:color w:val="000000" w:themeColor="text1"/>
          <w:sz w:val="24"/>
          <w:szCs w:val="24"/>
          <w:rtl/>
        </w:rPr>
        <w:t>لأدب</w:t>
      </w:r>
      <w:r w:rsidRPr="0006785F">
        <w:rPr>
          <w:rFonts w:asciiTheme="majorBidi" w:hAnsiTheme="majorBidi" w:cstheme="majorBidi"/>
          <w:color w:val="000000" w:themeColor="text1"/>
          <w:sz w:val="24"/>
          <w:szCs w:val="24"/>
          <w:rtl/>
        </w:rPr>
        <w:t>ي</w:t>
      </w:r>
      <w:r w:rsidRPr="0006785F">
        <w:rPr>
          <w:rStyle w:val="diff--ux1av"/>
          <w:rFonts w:asciiTheme="majorBidi" w:hAnsiTheme="majorBidi" w:cstheme="majorBidi"/>
          <w:color w:val="000000" w:themeColor="text1"/>
          <w:sz w:val="24"/>
          <w:szCs w:val="24"/>
          <w:rtl/>
        </w:rPr>
        <w:t>ة خلال</w:t>
      </w:r>
      <w:r w:rsidRPr="0006785F">
        <w:rPr>
          <w:rFonts w:asciiTheme="majorBidi" w:hAnsiTheme="majorBidi" w:cstheme="majorBidi"/>
          <w:color w:val="000000" w:themeColor="text1"/>
          <w:sz w:val="24"/>
          <w:szCs w:val="24"/>
          <w:rtl/>
        </w:rPr>
        <w:t xml:space="preserve"> تلك ال</w:t>
      </w:r>
      <w:r w:rsidRPr="0006785F">
        <w:rPr>
          <w:rStyle w:val="diff--ux1av"/>
          <w:rFonts w:asciiTheme="majorBidi" w:hAnsiTheme="majorBidi" w:cstheme="majorBidi"/>
          <w:color w:val="000000" w:themeColor="text1"/>
          <w:sz w:val="24"/>
          <w:szCs w:val="24"/>
          <w:rtl/>
        </w:rPr>
        <w:t>م</w:t>
      </w:r>
      <w:r w:rsidRPr="0006785F">
        <w:rPr>
          <w:rFonts w:asciiTheme="majorBidi" w:hAnsiTheme="majorBidi" w:cstheme="majorBidi"/>
          <w:color w:val="000000" w:themeColor="text1"/>
          <w:sz w:val="24"/>
          <w:szCs w:val="24"/>
          <w:rtl/>
        </w:rPr>
        <w:t>ر</w:t>
      </w:r>
      <w:r w:rsidRPr="0006785F">
        <w:rPr>
          <w:rStyle w:val="diff--ux1av"/>
          <w:rFonts w:asciiTheme="majorBidi" w:hAnsiTheme="majorBidi" w:cstheme="majorBidi"/>
          <w:color w:val="000000" w:themeColor="text1"/>
          <w:sz w:val="24"/>
          <w:szCs w:val="24"/>
          <w:rtl/>
        </w:rPr>
        <w:t>حل</w:t>
      </w:r>
      <w:r w:rsidRPr="0006785F">
        <w:rPr>
          <w:rFonts w:asciiTheme="majorBidi" w:hAnsiTheme="majorBidi" w:cstheme="majorBidi"/>
          <w:color w:val="000000" w:themeColor="text1"/>
          <w:sz w:val="24"/>
          <w:szCs w:val="24"/>
          <w:rtl/>
        </w:rPr>
        <w:t>ة</w:t>
      </w:r>
      <w:r w:rsidRPr="0006785F">
        <w:rPr>
          <w:rStyle w:val="diff--ux1av"/>
          <w:rFonts w:asciiTheme="majorBidi" w:hAnsiTheme="majorBidi" w:cstheme="majorBidi"/>
          <w:color w:val="000000" w:themeColor="text1"/>
          <w:sz w:val="24"/>
          <w:szCs w:val="24"/>
          <w:rtl/>
        </w:rPr>
        <w:t>،</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tl/>
        </w:rPr>
        <w:t>فقد ك</w:t>
      </w:r>
      <w:r w:rsidRPr="0006785F">
        <w:rPr>
          <w:rFonts w:asciiTheme="majorBidi" w:hAnsiTheme="majorBidi" w:cstheme="majorBidi"/>
          <w:color w:val="000000" w:themeColor="text1"/>
          <w:sz w:val="24"/>
          <w:szCs w:val="24"/>
          <w:rtl/>
        </w:rPr>
        <w:t>ا</w:t>
      </w:r>
      <w:r w:rsidRPr="0006785F">
        <w:rPr>
          <w:rStyle w:val="diff--ux1av"/>
          <w:rFonts w:asciiTheme="majorBidi" w:hAnsiTheme="majorBidi" w:cstheme="majorBidi"/>
          <w:color w:val="000000" w:themeColor="text1"/>
          <w:sz w:val="24"/>
          <w:szCs w:val="24"/>
          <w:rtl/>
        </w:rPr>
        <w:t>نت</w:t>
      </w:r>
      <w:r w:rsidRPr="0006785F">
        <w:rPr>
          <w:rFonts w:asciiTheme="majorBidi" w:hAnsiTheme="majorBidi" w:cstheme="majorBidi"/>
          <w:color w:val="000000" w:themeColor="text1"/>
          <w:sz w:val="24"/>
          <w:szCs w:val="24"/>
          <w:rtl/>
        </w:rPr>
        <w:t xml:space="preserve"> ت</w:t>
      </w:r>
      <w:r w:rsidRPr="0006785F">
        <w:rPr>
          <w:rStyle w:val="diff--ux1av"/>
          <w:rFonts w:asciiTheme="majorBidi" w:hAnsiTheme="majorBidi" w:cstheme="majorBidi"/>
          <w:color w:val="000000" w:themeColor="text1"/>
          <w:sz w:val="24"/>
          <w:szCs w:val="24"/>
          <w:rtl/>
        </w:rPr>
        <w:t>خضع</w:t>
      </w:r>
      <w:r w:rsidRPr="0006785F">
        <w:rPr>
          <w:rFonts w:asciiTheme="majorBidi" w:hAnsiTheme="majorBidi" w:cstheme="majorBidi"/>
          <w:color w:val="000000" w:themeColor="text1"/>
          <w:sz w:val="24"/>
          <w:szCs w:val="24"/>
          <w:rtl/>
        </w:rPr>
        <w:t xml:space="preserve"> ل</w:t>
      </w:r>
      <w:r w:rsidRPr="0006785F">
        <w:rPr>
          <w:rStyle w:val="diff--ux1av"/>
          <w:rFonts w:asciiTheme="majorBidi" w:hAnsiTheme="majorBidi" w:cstheme="majorBidi"/>
          <w:color w:val="000000" w:themeColor="text1"/>
          <w:sz w:val="24"/>
          <w:szCs w:val="24"/>
          <w:rtl/>
        </w:rPr>
        <w:t>هيم</w:t>
      </w:r>
      <w:r w:rsidRPr="0006785F">
        <w:rPr>
          <w:rFonts w:asciiTheme="majorBidi" w:hAnsiTheme="majorBidi" w:cstheme="majorBidi"/>
          <w:color w:val="000000" w:themeColor="text1"/>
          <w:sz w:val="24"/>
          <w:szCs w:val="24"/>
          <w:rtl/>
        </w:rPr>
        <w:t>ن</w:t>
      </w:r>
      <w:r w:rsidRPr="0006785F">
        <w:rPr>
          <w:rStyle w:val="diff--ux1av"/>
          <w:rFonts w:asciiTheme="majorBidi" w:hAnsiTheme="majorBidi" w:cstheme="majorBidi"/>
          <w:color w:val="000000" w:themeColor="text1"/>
          <w:sz w:val="24"/>
          <w:szCs w:val="24"/>
          <w:rtl/>
        </w:rPr>
        <w:t>ة</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Pr>
        <w:t>"</w:t>
      </w:r>
      <w:r w:rsidRPr="0006785F">
        <w:rPr>
          <w:rStyle w:val="diff--ux1av"/>
          <w:rFonts w:asciiTheme="majorBidi" w:hAnsiTheme="majorBidi" w:cstheme="majorBidi"/>
          <w:color w:val="000000" w:themeColor="text1"/>
          <w:sz w:val="24"/>
          <w:szCs w:val="24"/>
          <w:rtl/>
        </w:rPr>
        <w:t>النقد الجديد</w:t>
      </w:r>
      <w:r w:rsidRPr="0006785F">
        <w:rPr>
          <w:rStyle w:val="diff--ux1av"/>
          <w:rFonts w:asciiTheme="majorBidi" w:hAnsiTheme="majorBidi" w:cstheme="majorBidi"/>
          <w:color w:val="000000" w:themeColor="text1"/>
          <w:sz w:val="24"/>
          <w:szCs w:val="24"/>
        </w:rPr>
        <w:t xml:space="preserve">" </w:t>
      </w:r>
      <w:r w:rsidRPr="0006785F">
        <w:rPr>
          <w:rFonts w:asciiTheme="majorBidi" w:hAnsiTheme="majorBidi" w:cstheme="majorBidi"/>
          <w:color w:val="000000" w:themeColor="text1"/>
          <w:sz w:val="24"/>
          <w:szCs w:val="24"/>
          <w:rtl/>
        </w:rPr>
        <w:t>وما بعد البنيوية</w:t>
      </w:r>
      <w:r w:rsidRPr="0006785F">
        <w:rPr>
          <w:rStyle w:val="diff--ux1av"/>
          <w:rFonts w:asciiTheme="majorBidi" w:hAnsiTheme="majorBidi" w:cstheme="majorBidi"/>
          <w:color w:val="000000" w:themeColor="text1"/>
          <w:sz w:val="24"/>
          <w:szCs w:val="24"/>
        </w:rPr>
        <w:t>.</w:t>
      </w:r>
      <w:r w:rsidRPr="0006785F">
        <w:rPr>
          <w:rFonts w:asciiTheme="majorBidi" w:hAnsiTheme="majorBidi" w:cstheme="majorBidi"/>
          <w:color w:val="000000" w:themeColor="text1"/>
          <w:sz w:val="24"/>
          <w:szCs w:val="24"/>
        </w:rPr>
        <w:t xml:space="preserve"> </w:t>
      </w:r>
      <w:r w:rsidRPr="0006785F">
        <w:rPr>
          <w:rStyle w:val="diff--ux1av"/>
          <w:rFonts w:asciiTheme="majorBidi" w:hAnsiTheme="majorBidi" w:cstheme="majorBidi"/>
          <w:color w:val="000000" w:themeColor="text1"/>
          <w:sz w:val="24"/>
          <w:szCs w:val="24"/>
          <w:rtl/>
        </w:rPr>
        <w:t>و</w:t>
      </w:r>
      <w:r w:rsidRPr="0006785F">
        <w:rPr>
          <w:rFonts w:asciiTheme="majorBidi" w:hAnsiTheme="majorBidi" w:cstheme="majorBidi"/>
          <w:color w:val="000000" w:themeColor="text1"/>
          <w:sz w:val="24"/>
          <w:szCs w:val="24"/>
          <w:rtl/>
        </w:rPr>
        <w:t>في حين</w:t>
      </w:r>
      <w:r w:rsidRPr="0006785F">
        <w:rPr>
          <w:rStyle w:val="diff--ux1av"/>
          <w:rFonts w:asciiTheme="majorBidi" w:hAnsiTheme="majorBidi" w:cstheme="majorBidi"/>
          <w:color w:val="000000" w:themeColor="text1"/>
          <w:sz w:val="24"/>
          <w:szCs w:val="24"/>
          <w:rtl/>
        </w:rPr>
        <w:t>ها</w:t>
      </w:r>
      <w:r w:rsidRPr="0006785F">
        <w:rPr>
          <w:rFonts w:asciiTheme="majorBidi" w:hAnsiTheme="majorBidi" w:cstheme="majorBidi"/>
          <w:color w:val="000000" w:themeColor="text1"/>
          <w:sz w:val="24"/>
          <w:szCs w:val="24"/>
          <w:rtl/>
        </w:rPr>
        <w:t xml:space="preserve"> كانت نظريات العرق وال</w:t>
      </w:r>
      <w:r w:rsidRPr="0006785F">
        <w:rPr>
          <w:rStyle w:val="diff--ux1av"/>
          <w:rFonts w:asciiTheme="majorBidi" w:hAnsiTheme="majorBidi" w:cstheme="majorBidi"/>
          <w:color w:val="000000" w:themeColor="text1"/>
          <w:sz w:val="24"/>
          <w:szCs w:val="24"/>
          <w:rtl/>
        </w:rPr>
        <w:t>ج</w:t>
      </w:r>
      <w:r w:rsidRPr="0006785F">
        <w:rPr>
          <w:rFonts w:asciiTheme="majorBidi" w:hAnsiTheme="majorBidi" w:cstheme="majorBidi"/>
          <w:color w:val="000000" w:themeColor="text1"/>
          <w:sz w:val="24"/>
          <w:szCs w:val="24"/>
          <w:rtl/>
        </w:rPr>
        <w:t>ن</w:t>
      </w:r>
      <w:r w:rsidRPr="0006785F">
        <w:rPr>
          <w:rStyle w:val="diff--ux1av"/>
          <w:rFonts w:asciiTheme="majorBidi" w:hAnsiTheme="majorBidi" w:cstheme="majorBidi"/>
          <w:color w:val="000000" w:themeColor="text1"/>
          <w:sz w:val="24"/>
          <w:szCs w:val="24"/>
          <w:rtl/>
        </w:rPr>
        <w:t>در،</w:t>
      </w:r>
      <w:r w:rsidRPr="0006785F">
        <w:rPr>
          <w:rFonts w:asciiTheme="majorBidi" w:hAnsiTheme="majorBidi" w:cstheme="majorBidi"/>
          <w:color w:val="000000" w:themeColor="text1"/>
          <w:sz w:val="24"/>
          <w:szCs w:val="24"/>
          <w:rtl/>
        </w:rPr>
        <w:t xml:space="preserve"> بوصفها </w:t>
      </w:r>
      <w:r w:rsidRPr="0006785F">
        <w:rPr>
          <w:rStyle w:val="diff--ux1av"/>
          <w:rFonts w:asciiTheme="majorBidi" w:hAnsiTheme="majorBidi" w:cstheme="majorBidi"/>
          <w:color w:val="000000" w:themeColor="text1"/>
          <w:sz w:val="24"/>
          <w:szCs w:val="24"/>
          <w:rtl/>
        </w:rPr>
        <w:t>أد</w:t>
      </w:r>
      <w:r w:rsidRPr="0006785F">
        <w:rPr>
          <w:rFonts w:asciiTheme="majorBidi" w:hAnsiTheme="majorBidi" w:cstheme="majorBidi"/>
          <w:color w:val="000000" w:themeColor="text1"/>
          <w:sz w:val="24"/>
          <w:szCs w:val="24"/>
          <w:rtl/>
        </w:rPr>
        <w:t>وات تحليلية</w:t>
      </w:r>
      <w:r w:rsidRPr="0006785F">
        <w:rPr>
          <w:rStyle w:val="diff--ux1av"/>
          <w:rFonts w:asciiTheme="majorBidi" w:hAnsiTheme="majorBidi" w:cstheme="majorBidi"/>
          <w:color w:val="000000" w:themeColor="text1"/>
          <w:sz w:val="24"/>
          <w:szCs w:val="24"/>
          <w:rtl/>
        </w:rPr>
        <w:t>،</w:t>
      </w:r>
      <w:r w:rsidRPr="0006785F">
        <w:rPr>
          <w:rFonts w:asciiTheme="majorBidi" w:hAnsiTheme="majorBidi" w:cstheme="majorBidi"/>
          <w:color w:val="000000" w:themeColor="text1"/>
          <w:sz w:val="24"/>
          <w:szCs w:val="24"/>
          <w:rtl/>
        </w:rPr>
        <w:t xml:space="preserve"> لا تزال في </w:t>
      </w:r>
      <w:r w:rsidRPr="0006785F">
        <w:rPr>
          <w:rStyle w:val="diff--ux1av"/>
          <w:rFonts w:asciiTheme="majorBidi" w:hAnsiTheme="majorBidi" w:cstheme="majorBidi"/>
          <w:color w:val="000000" w:themeColor="text1"/>
          <w:sz w:val="24"/>
          <w:szCs w:val="24"/>
          <w:rtl/>
        </w:rPr>
        <w:t>أطو</w:t>
      </w:r>
      <w:r w:rsidRPr="0006785F">
        <w:rPr>
          <w:rFonts w:asciiTheme="majorBidi" w:hAnsiTheme="majorBidi" w:cstheme="majorBidi"/>
          <w:color w:val="000000" w:themeColor="text1"/>
          <w:sz w:val="24"/>
          <w:szCs w:val="24"/>
          <w:rtl/>
        </w:rPr>
        <w:t>ا</w:t>
      </w:r>
      <w:r w:rsidRPr="0006785F">
        <w:rPr>
          <w:rStyle w:val="diff--ux1av"/>
          <w:rFonts w:asciiTheme="majorBidi" w:hAnsiTheme="majorBidi" w:cstheme="majorBidi"/>
          <w:color w:val="000000" w:themeColor="text1"/>
          <w:sz w:val="24"/>
          <w:szCs w:val="24"/>
          <w:rtl/>
        </w:rPr>
        <w:t>ر</w:t>
      </w:r>
      <w:r w:rsidRPr="0006785F">
        <w:rPr>
          <w:rFonts w:asciiTheme="majorBidi" w:hAnsiTheme="majorBidi" w:cstheme="majorBidi"/>
          <w:color w:val="000000" w:themeColor="text1"/>
          <w:sz w:val="24"/>
          <w:szCs w:val="24"/>
          <w:rtl/>
        </w:rPr>
        <w:t xml:space="preserve"> </w:t>
      </w:r>
      <w:r w:rsidRPr="0006785F">
        <w:rPr>
          <w:rStyle w:val="diff--ux1av"/>
          <w:rFonts w:asciiTheme="majorBidi" w:hAnsiTheme="majorBidi" w:cstheme="majorBidi"/>
          <w:color w:val="000000" w:themeColor="text1"/>
          <w:sz w:val="24"/>
          <w:szCs w:val="24"/>
          <w:rtl/>
        </w:rPr>
        <w:t>ن</w:t>
      </w:r>
      <w:r w:rsidRPr="0006785F">
        <w:rPr>
          <w:rFonts w:asciiTheme="majorBidi" w:hAnsiTheme="majorBidi" w:cstheme="majorBidi"/>
          <w:color w:val="000000" w:themeColor="text1"/>
          <w:sz w:val="24"/>
          <w:szCs w:val="24"/>
          <w:rtl/>
        </w:rPr>
        <w:t>ش</w:t>
      </w:r>
      <w:r w:rsidRPr="0006785F">
        <w:rPr>
          <w:rStyle w:val="diff--ux1av"/>
          <w:rFonts w:asciiTheme="majorBidi" w:hAnsiTheme="majorBidi" w:cstheme="majorBidi"/>
          <w:color w:val="000000" w:themeColor="text1"/>
          <w:sz w:val="24"/>
          <w:szCs w:val="24"/>
          <w:rtl/>
        </w:rPr>
        <w:t>أت</w:t>
      </w:r>
      <w:r w:rsidRPr="0006785F">
        <w:rPr>
          <w:rFonts w:asciiTheme="majorBidi" w:hAnsiTheme="majorBidi" w:cstheme="majorBidi"/>
          <w:color w:val="000000" w:themeColor="text1"/>
          <w:sz w:val="24"/>
          <w:szCs w:val="24"/>
          <w:rtl/>
        </w:rPr>
        <w:t xml:space="preserve">ها </w:t>
      </w:r>
      <w:r w:rsidRPr="0006785F">
        <w:rPr>
          <w:rStyle w:val="diff--ux1av"/>
          <w:rFonts w:asciiTheme="majorBidi" w:hAnsiTheme="majorBidi" w:cstheme="majorBidi"/>
          <w:color w:val="000000" w:themeColor="text1"/>
          <w:sz w:val="24"/>
          <w:szCs w:val="24"/>
          <w:rtl/>
        </w:rPr>
        <w:t xml:space="preserve">الأولى </w:t>
      </w:r>
      <w:r w:rsidRPr="0006785F">
        <w:rPr>
          <w:rFonts w:asciiTheme="majorBidi" w:hAnsiTheme="majorBidi" w:cstheme="majorBidi"/>
          <w:color w:val="000000" w:themeColor="text1"/>
          <w:sz w:val="24"/>
          <w:szCs w:val="24"/>
          <w:rtl/>
        </w:rPr>
        <w:t>خلال سبعينيات القرن العشرين</w:t>
      </w:r>
      <w:r w:rsidRPr="0006785F">
        <w:rPr>
          <w:rFonts w:asciiTheme="majorBidi" w:eastAsia="Calibri" w:hAnsiTheme="majorBidi" w:cstheme="majorBidi" w:hint="cs"/>
          <w:color w:val="000000" w:themeColor="text1"/>
          <w:sz w:val="24"/>
          <w:szCs w:val="24"/>
          <w:rtl/>
        </w:rPr>
        <w:t>.</w:t>
      </w:r>
    </w:p>
    <w:p w14:paraId="2F3009DD" w14:textId="77777777" w:rsidR="00D51387" w:rsidRDefault="00D51387" w:rsidP="00D51387">
      <w:pPr>
        <w:jc w:val="both"/>
        <w:rPr>
          <w:rFonts w:asciiTheme="majorBidi" w:eastAsia="Calibri" w:hAnsiTheme="majorBidi" w:cstheme="majorBidi"/>
          <w:sz w:val="24"/>
          <w:szCs w:val="24"/>
          <w:rtl/>
        </w:rPr>
      </w:pPr>
      <w:r w:rsidRPr="009904D0">
        <w:rPr>
          <w:rFonts w:asciiTheme="majorBidi" w:eastAsia="Calibri" w:hAnsiTheme="majorBidi" w:cs="Times New Roman"/>
          <w:sz w:val="24"/>
          <w:szCs w:val="24"/>
          <w:rtl/>
        </w:rPr>
        <w:t>لم تنجح المحاولات التي استهدفت توسيع نطاق نقد الاستعمار والإمبريالية ليشمل مجالات مثل التاريخ والحقول المعرفية الأخرى، خارج حدود علم الأنثروبولوجيا، في أن تحظى بقبول واسع في بريطانيا والولايات المتحدة خلال ستينيات وسبعينيات القرن العشرين. تعود هذه النتيجة إلى عدة عوامل؛ حيث فضّل المؤرخون الغربيون المناهضون للإمبريالية في خمسينيات وستينيات القرن الماضي التركيز على إعادة إنتاج السرديات القومية في كتاباتهم، بدلًا من الخوض في أسئلة جوهرية تتعلق بالطبيعة المتموضعة للمعرفة بكافة أشكالها. هذا في وقت لم تكن فيه قضايا مثل سياسة التمثيل والأسئلة المتعلقة بمن يملك حق سرد التاريخ الاستعماري</w:t>
      </w:r>
      <w:r>
        <w:rPr>
          <w:rFonts w:asciiTheme="majorBidi" w:eastAsia="Calibri" w:hAnsiTheme="majorBidi" w:cs="Times New Roman" w:hint="cs"/>
          <w:sz w:val="24"/>
          <w:szCs w:val="24"/>
          <w:rtl/>
        </w:rPr>
        <w:t xml:space="preserve">، </w:t>
      </w:r>
      <w:r w:rsidRPr="009904D0">
        <w:rPr>
          <w:rFonts w:asciiTheme="majorBidi" w:eastAsia="Calibri" w:hAnsiTheme="majorBidi" w:cs="Times New Roman"/>
          <w:sz w:val="24"/>
          <w:szCs w:val="24"/>
          <w:rtl/>
        </w:rPr>
        <w:t>هل هم القوميون أم الأوروبيون؟</w:t>
      </w:r>
      <w:r>
        <w:rPr>
          <w:rFonts w:asciiTheme="majorBidi" w:eastAsia="Calibri" w:hAnsiTheme="majorBidi" w:cs="Times New Roman" w:hint="cs"/>
          <w:sz w:val="24"/>
          <w:szCs w:val="24"/>
          <w:rtl/>
        </w:rPr>
        <w:t xml:space="preserve"> </w:t>
      </w:r>
      <w:r w:rsidRPr="009904D0">
        <w:rPr>
          <w:rFonts w:asciiTheme="majorBidi" w:eastAsia="Calibri" w:hAnsiTheme="majorBidi" w:cs="Times New Roman"/>
          <w:sz w:val="24"/>
          <w:szCs w:val="24"/>
          <w:rtl/>
        </w:rPr>
        <w:t>قد أصبحت بعد جزءًا أساسيًا من الأجندة الفكري</w:t>
      </w:r>
      <w:r>
        <w:rPr>
          <w:rFonts w:asciiTheme="majorBidi" w:eastAsia="Calibri" w:hAnsiTheme="majorBidi" w:cstheme="majorBidi" w:hint="cs"/>
          <w:sz w:val="24"/>
          <w:szCs w:val="24"/>
          <w:rtl/>
        </w:rPr>
        <w:t>ة.</w:t>
      </w:r>
    </w:p>
    <w:p w14:paraId="60F72406" w14:textId="77777777" w:rsidR="00D51387" w:rsidRDefault="00D51387" w:rsidP="00D51387">
      <w:pPr>
        <w:jc w:val="both"/>
        <w:rPr>
          <w:rFonts w:asciiTheme="majorBidi" w:eastAsia="Calibri" w:hAnsiTheme="majorBidi" w:cstheme="majorBidi"/>
          <w:sz w:val="24"/>
          <w:szCs w:val="24"/>
          <w:rtl/>
        </w:rPr>
      </w:pPr>
      <w:r>
        <w:rPr>
          <w:rFonts w:asciiTheme="majorBidi" w:eastAsia="Calibri" w:hAnsiTheme="majorBidi" w:cs="Times New Roman" w:hint="cs"/>
          <w:sz w:val="24"/>
          <w:szCs w:val="24"/>
          <w:rtl/>
        </w:rPr>
        <w:t>ن</w:t>
      </w:r>
      <w:r w:rsidRPr="009904D0">
        <w:rPr>
          <w:rFonts w:asciiTheme="majorBidi" w:eastAsia="Calibri" w:hAnsiTheme="majorBidi" w:cs="Times New Roman"/>
          <w:sz w:val="24"/>
          <w:szCs w:val="24"/>
          <w:rtl/>
        </w:rPr>
        <w:t>ظرًا لغياب نقد فلسفي أكثر عمقًا، وخاصة ما يتعلق بنظرية التمثيل، لم يتمكن الماركسيون المناهضون للإمبريالية في بريطانيا والولايات المتحدة من تجاوز حدود سياسات مناهضة الإمبريالية والعنصرية أو من تطوير نقد للنزعات السياسية غير الإنسانية الكامنة في بعض أشكال القومية التقدمية. ومع ذلك، حملت الانتقادات الماركسية للإمبريالية مزايا ملحوظة مقارنة بالانتقادات القائمة على الخطاب التي ظهرت لاحقًا مع الاستشراق، حيث كانت من عدة جوانب أكثر قدرةً على تصور العالم الفكري للإمبريالية باعتباره نتاجًا عمليات تاريخية عالمية معقدة تشكّلت على مدى الزمن</w:t>
      </w:r>
      <w:r>
        <w:rPr>
          <w:rFonts w:asciiTheme="majorBidi" w:eastAsia="Calibri" w:hAnsiTheme="majorBidi" w:cstheme="majorBidi" w:hint="cs"/>
          <w:sz w:val="24"/>
          <w:szCs w:val="24"/>
          <w:rtl/>
        </w:rPr>
        <w:t>.</w:t>
      </w:r>
    </w:p>
    <w:p w14:paraId="042DD1A0" w14:textId="77777777" w:rsidR="00D51387" w:rsidRDefault="00D51387" w:rsidP="00D51387">
      <w:pPr>
        <w:jc w:val="both"/>
        <w:rPr>
          <w:rFonts w:asciiTheme="majorBidi" w:eastAsia="Calibri" w:hAnsiTheme="majorBidi" w:cstheme="majorBidi"/>
          <w:sz w:val="24"/>
          <w:szCs w:val="24"/>
          <w:rtl/>
        </w:rPr>
      </w:pPr>
      <w:r w:rsidRPr="009904D0">
        <w:rPr>
          <w:rFonts w:asciiTheme="majorBidi" w:eastAsia="Calibri" w:hAnsiTheme="majorBidi" w:cs="Times New Roman"/>
          <w:sz w:val="24"/>
          <w:szCs w:val="24"/>
          <w:rtl/>
        </w:rPr>
        <w:t>يمكن فهم طبيعة هذا النوع من النقد من خلال تناول عملين بارزين، هما: كتاب طلال أسد "</w:t>
      </w:r>
      <w:r w:rsidRPr="006C68D5">
        <w:rPr>
          <w:rFonts w:asciiTheme="majorBidi" w:eastAsia="Calibri" w:hAnsiTheme="majorBidi" w:cs="Times New Roman"/>
          <w:i/>
          <w:iCs/>
          <w:sz w:val="24"/>
          <w:szCs w:val="24"/>
          <w:rtl/>
        </w:rPr>
        <w:t>الأنثروبولوجيا واللقاء الاستعماري"</w:t>
      </w:r>
      <w:r w:rsidRPr="009904D0">
        <w:rPr>
          <w:rFonts w:asciiTheme="majorBidi" w:eastAsia="Calibri" w:hAnsiTheme="majorBidi" w:cs="Times New Roman"/>
          <w:sz w:val="24"/>
          <w:szCs w:val="24"/>
          <w:rtl/>
        </w:rPr>
        <w:t xml:space="preserve"> (1973)، وكتاب براين </w:t>
      </w:r>
      <w:proofErr w:type="spellStart"/>
      <w:r w:rsidRPr="009904D0">
        <w:rPr>
          <w:rFonts w:asciiTheme="majorBidi" w:eastAsia="Calibri" w:hAnsiTheme="majorBidi" w:cs="Times New Roman"/>
          <w:sz w:val="24"/>
          <w:szCs w:val="24"/>
          <w:rtl/>
        </w:rPr>
        <w:t>ترنر</w:t>
      </w:r>
      <w:proofErr w:type="spellEnd"/>
      <w:r w:rsidRPr="009904D0">
        <w:rPr>
          <w:rFonts w:asciiTheme="majorBidi" w:eastAsia="Calibri" w:hAnsiTheme="majorBidi" w:cs="Times New Roman"/>
          <w:sz w:val="24"/>
          <w:szCs w:val="24"/>
          <w:rtl/>
        </w:rPr>
        <w:t xml:space="preserve"> "</w:t>
      </w:r>
      <w:r w:rsidRPr="006C68D5">
        <w:rPr>
          <w:rFonts w:asciiTheme="majorBidi" w:eastAsia="Calibri" w:hAnsiTheme="majorBidi" w:cs="Times New Roman"/>
          <w:i/>
          <w:iCs/>
          <w:sz w:val="24"/>
          <w:szCs w:val="24"/>
          <w:rtl/>
        </w:rPr>
        <w:t>ماركس ونهاية الاستشراق"</w:t>
      </w:r>
      <w:r w:rsidRPr="009904D0">
        <w:rPr>
          <w:rFonts w:asciiTheme="majorBidi" w:eastAsia="Calibri" w:hAnsiTheme="majorBidi" w:cs="Times New Roman"/>
          <w:sz w:val="24"/>
          <w:szCs w:val="24"/>
          <w:rtl/>
        </w:rPr>
        <w:t xml:space="preserve"> (1978). في كتاب أسد، سعى المشاركون إلى تجاوز مجرد نقد العلوم الاجتماعية الاستعمارية بأسلوب تقليدي، وذلك عبر تحليل السياقات التاريخية التي نشأت فيها هذه العلوم. أشار أسد في مقدمة الكتاب إلى أن الأنثروبولوجيا كانت وليدةَ عصر التنوير، لكنها أيضًا نتاج علاقات قُوَى غير متوازنة بين العالم الغربي والعوالم الأخرى. كما تساءل حول الأغراض التي استُخدمت فيها المعرفة </w:t>
      </w:r>
      <w:proofErr w:type="spellStart"/>
      <w:r w:rsidRPr="009904D0">
        <w:rPr>
          <w:rFonts w:asciiTheme="majorBidi" w:eastAsia="Calibri" w:hAnsiTheme="majorBidi" w:cs="Times New Roman"/>
          <w:sz w:val="24"/>
          <w:szCs w:val="24"/>
          <w:rtl/>
        </w:rPr>
        <w:t>الأنثروبولوجية</w:t>
      </w:r>
      <w:proofErr w:type="spellEnd"/>
      <w:r w:rsidRPr="009904D0">
        <w:rPr>
          <w:rFonts w:asciiTheme="majorBidi" w:eastAsia="Calibri" w:hAnsiTheme="majorBidi" w:cs="Times New Roman"/>
          <w:sz w:val="24"/>
          <w:szCs w:val="24"/>
          <w:rtl/>
        </w:rPr>
        <w:t>، موضحًا أن مزاعم الحياد السياسي في هذا المجال أدت إلى آثار خطيرة، أبرزها عدم القدرة على دراسة النظام الاستعماري بشكل مباشر. لم يعتبر أسد الأنثروبولوجيا مجرد انعكاس للأيديولوجية الاستعمارية، وإنما رآها نتاجًا لوعي برجوازي معقد ومتناقض. هذا الوعي، وفقًا له، كان يمكن أن يتيح تطوير فهم أكثر عمقًا وتاريخية لعلاقة الأنثروبولوجيا بالاستعما</w:t>
      </w:r>
      <w:r>
        <w:rPr>
          <w:rFonts w:asciiTheme="majorBidi" w:eastAsia="Calibri" w:hAnsiTheme="majorBidi" w:cstheme="majorBidi" w:hint="cs"/>
          <w:sz w:val="24"/>
          <w:szCs w:val="24"/>
          <w:rtl/>
        </w:rPr>
        <w:t>ر.</w:t>
      </w:r>
    </w:p>
    <w:p w14:paraId="6CCF99A0" w14:textId="77777777" w:rsidR="00D51387" w:rsidRDefault="00D51387" w:rsidP="00D51387">
      <w:pPr>
        <w:jc w:val="both"/>
        <w:rPr>
          <w:rFonts w:asciiTheme="majorBidi" w:eastAsia="Calibri" w:hAnsiTheme="majorBidi" w:cstheme="majorBidi"/>
          <w:sz w:val="24"/>
          <w:szCs w:val="24"/>
          <w:rtl/>
        </w:rPr>
      </w:pPr>
      <w:r w:rsidRPr="006C68D5">
        <w:rPr>
          <w:rFonts w:asciiTheme="majorBidi" w:eastAsia="Calibri" w:hAnsiTheme="majorBidi" w:cs="Times New Roman"/>
          <w:sz w:val="24"/>
          <w:szCs w:val="24"/>
          <w:rtl/>
        </w:rPr>
        <w:t xml:space="preserve">تاب براين </w:t>
      </w:r>
      <w:proofErr w:type="spellStart"/>
      <w:r w:rsidRPr="006C68D5">
        <w:rPr>
          <w:rFonts w:asciiTheme="majorBidi" w:eastAsia="Calibri" w:hAnsiTheme="majorBidi" w:cs="Times New Roman"/>
          <w:sz w:val="24"/>
          <w:szCs w:val="24"/>
          <w:rtl/>
        </w:rPr>
        <w:t>ترنر</w:t>
      </w:r>
      <w:proofErr w:type="spellEnd"/>
      <w:r w:rsidRPr="006C68D5">
        <w:rPr>
          <w:rFonts w:asciiTheme="majorBidi" w:eastAsia="Calibri" w:hAnsiTheme="majorBidi" w:cs="Times New Roman"/>
          <w:sz w:val="24"/>
          <w:szCs w:val="24"/>
          <w:rtl/>
        </w:rPr>
        <w:t xml:space="preserve"> </w:t>
      </w:r>
      <w:r w:rsidRPr="006C68D5">
        <w:rPr>
          <w:rFonts w:asciiTheme="majorBidi" w:eastAsia="Calibri" w:hAnsiTheme="majorBidi" w:cs="Times New Roman"/>
          <w:i/>
          <w:iCs/>
          <w:sz w:val="24"/>
          <w:szCs w:val="24"/>
          <w:rtl/>
        </w:rPr>
        <w:t>"ماركس ونهاية الاستشراق"</w:t>
      </w:r>
      <w:r w:rsidRPr="006C68D5">
        <w:rPr>
          <w:rFonts w:asciiTheme="majorBidi" w:eastAsia="Calibri" w:hAnsiTheme="majorBidi" w:cs="Times New Roman"/>
          <w:sz w:val="24"/>
          <w:szCs w:val="24"/>
          <w:rtl/>
        </w:rPr>
        <w:t xml:space="preserve"> قدّم إسهامًا بارزًا في مجال دراسات الشرق الأوسط، حيث ارتبط جزئيًا بنشاطات </w:t>
      </w:r>
      <w:r w:rsidRPr="006C68D5">
        <w:rPr>
          <w:rFonts w:asciiTheme="majorBidi" w:eastAsia="Calibri" w:hAnsiTheme="majorBidi" w:cs="Times New Roman"/>
          <w:i/>
          <w:iCs/>
          <w:sz w:val="24"/>
          <w:szCs w:val="24"/>
          <w:rtl/>
        </w:rPr>
        <w:t>"مجموعة هال"</w:t>
      </w:r>
      <w:r w:rsidRPr="006C68D5">
        <w:rPr>
          <w:rFonts w:asciiTheme="majorBidi" w:eastAsia="Calibri" w:hAnsiTheme="majorBidi" w:cs="Times New Roman"/>
          <w:sz w:val="24"/>
          <w:szCs w:val="24"/>
          <w:rtl/>
        </w:rPr>
        <w:t xml:space="preserve"> التي تضم باحثين تقدميين مثل طلال أسد وروجر أوين. الكتاب صدر في العام ذاته الذي ظهر فيه كتاب </w:t>
      </w:r>
      <w:r w:rsidRPr="006C68D5">
        <w:rPr>
          <w:rFonts w:asciiTheme="majorBidi" w:eastAsia="Calibri" w:hAnsiTheme="majorBidi" w:cs="Times New Roman"/>
          <w:i/>
          <w:iCs/>
          <w:sz w:val="24"/>
          <w:szCs w:val="24"/>
          <w:rtl/>
        </w:rPr>
        <w:t>"الاستشراق"</w:t>
      </w:r>
      <w:r w:rsidRPr="006C68D5">
        <w:rPr>
          <w:rFonts w:asciiTheme="majorBidi" w:eastAsia="Calibri" w:hAnsiTheme="majorBidi" w:cs="Times New Roman"/>
          <w:sz w:val="24"/>
          <w:szCs w:val="24"/>
          <w:rtl/>
        </w:rPr>
        <w:t xml:space="preserve"> لإدوارد سعيد، وسبق طرح عدد من النقاط المحورية التي تناولها سعيد. رغم أن </w:t>
      </w:r>
      <w:proofErr w:type="spellStart"/>
      <w:r w:rsidRPr="006C68D5">
        <w:rPr>
          <w:rFonts w:asciiTheme="majorBidi" w:eastAsia="Calibri" w:hAnsiTheme="majorBidi" w:cs="Times New Roman"/>
          <w:sz w:val="24"/>
          <w:szCs w:val="24"/>
          <w:rtl/>
        </w:rPr>
        <w:t>ترنر</w:t>
      </w:r>
      <w:proofErr w:type="spellEnd"/>
      <w:r w:rsidRPr="006C68D5">
        <w:rPr>
          <w:rFonts w:asciiTheme="majorBidi" w:eastAsia="Calibri" w:hAnsiTheme="majorBidi" w:cs="Times New Roman"/>
          <w:sz w:val="24"/>
          <w:szCs w:val="24"/>
          <w:rtl/>
        </w:rPr>
        <w:t xml:space="preserve"> لم يعتمد مصطلح "الخطاب" مباشرة أو يستند إلى فكر ميشيل فوكو، إلا أنه كان السبّاق في الإشارة إلى العلاقة الوثيقة بين دراسات الشرق الأوسط كمجال أكاديمي وبين دراسة الاستشراق في مجالات الفن والأدب والتاريخ والدين. وفي الوقت ذاته، تأثّر كتابه بالسجالات التي شهدتها الحركة الماركسية البريطانية خلال سبعينيات القرن العشرين، خاصة النقاشات التي تناولت تفسيرات </w:t>
      </w:r>
      <w:proofErr w:type="spellStart"/>
      <w:r w:rsidRPr="006C68D5">
        <w:rPr>
          <w:rFonts w:asciiTheme="majorBidi" w:eastAsia="Calibri" w:hAnsiTheme="majorBidi" w:cs="Times New Roman"/>
          <w:sz w:val="24"/>
          <w:szCs w:val="24"/>
          <w:rtl/>
        </w:rPr>
        <w:t>ألتوسير</w:t>
      </w:r>
      <w:proofErr w:type="spellEnd"/>
      <w:r w:rsidRPr="006C68D5">
        <w:rPr>
          <w:rFonts w:asciiTheme="majorBidi" w:eastAsia="Calibri" w:hAnsiTheme="majorBidi" w:cs="Times New Roman"/>
          <w:sz w:val="24"/>
          <w:szCs w:val="24"/>
          <w:rtl/>
        </w:rPr>
        <w:t xml:space="preserve"> لماركس بخصوص التشكيلات الاجتماعية ما قبل الرأسمالية.</w:t>
      </w:r>
    </w:p>
    <w:p w14:paraId="7345794C" w14:textId="77777777" w:rsidR="00D51387" w:rsidRDefault="00D51387" w:rsidP="00D51387">
      <w:pPr>
        <w:jc w:val="both"/>
        <w:rPr>
          <w:rFonts w:asciiTheme="majorBidi" w:eastAsia="Calibri" w:hAnsiTheme="majorBidi" w:cstheme="majorBidi"/>
          <w:sz w:val="24"/>
          <w:szCs w:val="24"/>
          <w:rtl/>
        </w:rPr>
      </w:pPr>
      <w:r w:rsidRPr="00A123AE">
        <w:rPr>
          <w:rFonts w:asciiTheme="majorBidi" w:eastAsia="Calibri" w:hAnsiTheme="majorBidi" w:cs="Times New Roman"/>
          <w:sz w:val="24"/>
          <w:szCs w:val="24"/>
          <w:rtl/>
        </w:rPr>
        <w:t xml:space="preserve">وفقًا </w:t>
      </w:r>
      <w:proofErr w:type="spellStart"/>
      <w:r w:rsidRPr="00A123AE">
        <w:rPr>
          <w:rFonts w:asciiTheme="majorBidi" w:eastAsia="Calibri" w:hAnsiTheme="majorBidi" w:cs="Times New Roman"/>
          <w:sz w:val="24"/>
          <w:szCs w:val="24"/>
          <w:rtl/>
        </w:rPr>
        <w:t>لترنر</w:t>
      </w:r>
      <w:proofErr w:type="spellEnd"/>
      <w:r w:rsidRPr="00A123AE">
        <w:rPr>
          <w:rFonts w:asciiTheme="majorBidi" w:eastAsia="Calibri" w:hAnsiTheme="majorBidi" w:cs="Times New Roman"/>
          <w:sz w:val="24"/>
          <w:szCs w:val="24"/>
          <w:rtl/>
        </w:rPr>
        <w:t xml:space="preserve">، فإن افتراضات ماركس بأن التاريخ يتقدم عبر مراحل، وأن أوروبا تحتل موقع الصدارة في هذا التقدم، إلى جانب محاولته التمييز بين نمط الإنتاج الآسيوي وغيره، كانت تعكس تأثر فكره بالمنظور </w:t>
      </w:r>
      <w:proofErr w:type="spellStart"/>
      <w:r w:rsidRPr="00A123AE">
        <w:rPr>
          <w:rFonts w:asciiTheme="majorBidi" w:eastAsia="Calibri" w:hAnsiTheme="majorBidi" w:cs="Times New Roman"/>
          <w:sz w:val="24"/>
          <w:szCs w:val="24"/>
          <w:rtl/>
        </w:rPr>
        <w:t>الاستشراقي</w:t>
      </w:r>
      <w:proofErr w:type="spellEnd"/>
      <w:r w:rsidRPr="00A123AE">
        <w:rPr>
          <w:rFonts w:asciiTheme="majorBidi" w:eastAsia="Calibri" w:hAnsiTheme="majorBidi" w:cs="Times New Roman"/>
          <w:sz w:val="24"/>
          <w:szCs w:val="24"/>
          <w:rtl/>
        </w:rPr>
        <w:t xml:space="preserve">. لذلك، يرى </w:t>
      </w:r>
      <w:proofErr w:type="spellStart"/>
      <w:r w:rsidRPr="00A123AE">
        <w:rPr>
          <w:rFonts w:asciiTheme="majorBidi" w:eastAsia="Calibri" w:hAnsiTheme="majorBidi" w:cs="Times New Roman"/>
          <w:sz w:val="24"/>
          <w:szCs w:val="24"/>
          <w:rtl/>
        </w:rPr>
        <w:t>ترنر</w:t>
      </w:r>
      <w:proofErr w:type="spellEnd"/>
      <w:r w:rsidRPr="00A123AE">
        <w:rPr>
          <w:rFonts w:asciiTheme="majorBidi" w:eastAsia="Calibri" w:hAnsiTheme="majorBidi" w:cs="Times New Roman"/>
          <w:sz w:val="24"/>
          <w:szCs w:val="24"/>
          <w:rtl/>
        </w:rPr>
        <w:t xml:space="preserve"> أن القيود </w:t>
      </w:r>
      <w:proofErr w:type="spellStart"/>
      <w:r w:rsidRPr="00A123AE">
        <w:rPr>
          <w:rFonts w:asciiTheme="majorBidi" w:eastAsia="Calibri" w:hAnsiTheme="majorBidi" w:cs="Times New Roman"/>
          <w:sz w:val="24"/>
          <w:szCs w:val="24"/>
          <w:rtl/>
        </w:rPr>
        <w:t>الإبستمولوجية</w:t>
      </w:r>
      <w:proofErr w:type="spellEnd"/>
      <w:r w:rsidRPr="00A123AE">
        <w:rPr>
          <w:rFonts w:asciiTheme="majorBidi" w:eastAsia="Calibri" w:hAnsiTheme="majorBidi" w:cs="Times New Roman"/>
          <w:sz w:val="24"/>
          <w:szCs w:val="24"/>
          <w:rtl/>
        </w:rPr>
        <w:t xml:space="preserve"> </w:t>
      </w:r>
      <w:proofErr w:type="spellStart"/>
      <w:r w:rsidRPr="00A123AE">
        <w:rPr>
          <w:rFonts w:asciiTheme="majorBidi" w:eastAsia="Calibri" w:hAnsiTheme="majorBidi" w:cs="Times New Roman"/>
          <w:sz w:val="24"/>
          <w:szCs w:val="24"/>
          <w:rtl/>
        </w:rPr>
        <w:t>الهيغلية</w:t>
      </w:r>
      <w:proofErr w:type="spellEnd"/>
      <w:r w:rsidRPr="00A123AE">
        <w:rPr>
          <w:rFonts w:asciiTheme="majorBidi" w:eastAsia="Calibri" w:hAnsiTheme="majorBidi" w:cs="Times New Roman"/>
          <w:sz w:val="24"/>
          <w:szCs w:val="24"/>
          <w:rtl/>
        </w:rPr>
        <w:t xml:space="preserve"> </w:t>
      </w:r>
      <w:proofErr w:type="spellStart"/>
      <w:r w:rsidRPr="00A123AE">
        <w:rPr>
          <w:rFonts w:asciiTheme="majorBidi" w:eastAsia="Calibri" w:hAnsiTheme="majorBidi" w:cs="Times New Roman"/>
          <w:sz w:val="24"/>
          <w:szCs w:val="24"/>
          <w:rtl/>
        </w:rPr>
        <w:t>والاستشراقية</w:t>
      </w:r>
      <w:proofErr w:type="spellEnd"/>
      <w:r w:rsidRPr="00A123AE">
        <w:rPr>
          <w:rFonts w:asciiTheme="majorBidi" w:eastAsia="Calibri" w:hAnsiTheme="majorBidi" w:cs="Times New Roman"/>
          <w:sz w:val="24"/>
          <w:szCs w:val="24"/>
          <w:rtl/>
        </w:rPr>
        <w:t xml:space="preserve"> في الفكر الماركسي حول الشرق الأوسط هي العناصر التي تستوجب النقد والمساءلة. وعلى الرغم من أن كتاب </w:t>
      </w:r>
      <w:r w:rsidRPr="00A123AE">
        <w:rPr>
          <w:rFonts w:asciiTheme="majorBidi" w:eastAsia="Calibri" w:hAnsiTheme="majorBidi" w:cs="Times New Roman"/>
          <w:i/>
          <w:iCs/>
          <w:sz w:val="24"/>
          <w:szCs w:val="24"/>
          <w:rtl/>
        </w:rPr>
        <w:t>"ماركس ونهاية الاستشراق"</w:t>
      </w:r>
      <w:r w:rsidRPr="00A123AE">
        <w:rPr>
          <w:rFonts w:asciiTheme="majorBidi" w:eastAsia="Calibri" w:hAnsiTheme="majorBidi" w:cs="Times New Roman"/>
          <w:sz w:val="24"/>
          <w:szCs w:val="24"/>
          <w:rtl/>
        </w:rPr>
        <w:t xml:space="preserve"> يظهر وجود </w:t>
      </w:r>
      <w:r w:rsidRPr="00A123AE">
        <w:rPr>
          <w:rFonts w:asciiTheme="majorBidi" w:eastAsia="Calibri" w:hAnsiTheme="majorBidi" w:cs="Times New Roman"/>
          <w:i/>
          <w:iCs/>
          <w:sz w:val="24"/>
          <w:szCs w:val="24"/>
          <w:rtl/>
        </w:rPr>
        <w:t xml:space="preserve">"أجواء فكرية" </w:t>
      </w:r>
      <w:r w:rsidRPr="00A123AE">
        <w:rPr>
          <w:rFonts w:asciiTheme="majorBidi" w:eastAsia="Calibri" w:hAnsiTheme="majorBidi" w:cs="Times New Roman"/>
          <w:sz w:val="24"/>
          <w:szCs w:val="24"/>
          <w:rtl/>
        </w:rPr>
        <w:t>ساهمت في تفسير السرعة التي استُقبل بها كتاب إدوارد سعيد، إلا أن هذا العمل بقي في جوهره ضمن إطار التفكير البنيوي الماركسي. وهذا يشير إلى أن الفكر الماركسي البريطاني والأمريكي لم يكن بمفرده قادرًا على تحقيق النقلة الفكرية التي قدمها سعيد. وهنا يبرز التساؤل: ما هو وضع نقد الفكر الإمبريالي في فرنسا؟</w:t>
      </w:r>
    </w:p>
    <w:p w14:paraId="72FDD412" w14:textId="5DCDF473" w:rsidR="00D51387" w:rsidRDefault="00D51387" w:rsidP="00D51387">
      <w:pPr>
        <w:jc w:val="both"/>
        <w:rPr>
          <w:rFonts w:asciiTheme="majorBidi" w:eastAsia="Calibri" w:hAnsiTheme="majorBidi" w:cstheme="majorBidi"/>
          <w:sz w:val="24"/>
          <w:szCs w:val="24"/>
          <w:rtl/>
        </w:rPr>
      </w:pPr>
    </w:p>
    <w:p w14:paraId="4127B858" w14:textId="2BD7D645" w:rsidR="00D51387" w:rsidRDefault="00D51387" w:rsidP="00D51387">
      <w:pPr>
        <w:jc w:val="both"/>
        <w:rPr>
          <w:rFonts w:asciiTheme="majorBidi" w:eastAsia="Calibri" w:hAnsiTheme="majorBidi" w:cstheme="majorBidi"/>
          <w:sz w:val="24"/>
          <w:szCs w:val="24"/>
          <w:rtl/>
        </w:rPr>
      </w:pPr>
    </w:p>
    <w:p w14:paraId="1243E7CA" w14:textId="521FF83D" w:rsidR="00D51387" w:rsidRDefault="00D51387" w:rsidP="00D51387">
      <w:pPr>
        <w:jc w:val="both"/>
        <w:rPr>
          <w:rFonts w:asciiTheme="majorBidi" w:eastAsia="Calibri" w:hAnsiTheme="majorBidi" w:cstheme="majorBidi"/>
          <w:sz w:val="24"/>
          <w:szCs w:val="24"/>
          <w:rtl/>
        </w:rPr>
      </w:pPr>
    </w:p>
    <w:p w14:paraId="2F831D6B" w14:textId="540C62DE" w:rsidR="00D51387" w:rsidRDefault="00D51387" w:rsidP="00D51387">
      <w:pPr>
        <w:jc w:val="both"/>
        <w:rPr>
          <w:rFonts w:asciiTheme="majorBidi" w:eastAsia="Calibri" w:hAnsiTheme="majorBidi" w:cstheme="majorBidi"/>
          <w:sz w:val="24"/>
          <w:szCs w:val="24"/>
          <w:rtl/>
        </w:rPr>
      </w:pPr>
    </w:p>
    <w:p w14:paraId="7A39C60C" w14:textId="156FADAD" w:rsidR="00D51387" w:rsidRDefault="00D51387" w:rsidP="00D51387">
      <w:pPr>
        <w:jc w:val="both"/>
        <w:rPr>
          <w:rFonts w:asciiTheme="majorBidi" w:eastAsia="Calibri" w:hAnsiTheme="majorBidi" w:cstheme="majorBidi"/>
          <w:sz w:val="24"/>
          <w:szCs w:val="24"/>
          <w:rtl/>
        </w:rPr>
      </w:pPr>
    </w:p>
    <w:p w14:paraId="78668E4D" w14:textId="116E129E" w:rsidR="00D51387" w:rsidRDefault="00D51387" w:rsidP="00D51387">
      <w:pPr>
        <w:jc w:val="both"/>
        <w:rPr>
          <w:rFonts w:asciiTheme="majorBidi" w:eastAsia="Calibri" w:hAnsiTheme="majorBidi" w:cstheme="majorBidi"/>
          <w:sz w:val="24"/>
          <w:szCs w:val="24"/>
          <w:rtl/>
        </w:rPr>
      </w:pPr>
    </w:p>
    <w:p w14:paraId="46CCE794" w14:textId="3DDCEABD" w:rsidR="00D51387" w:rsidRDefault="00D51387" w:rsidP="00D51387">
      <w:pPr>
        <w:jc w:val="both"/>
        <w:rPr>
          <w:rFonts w:asciiTheme="majorBidi" w:eastAsia="Calibri" w:hAnsiTheme="majorBidi" w:cstheme="majorBidi"/>
          <w:sz w:val="24"/>
          <w:szCs w:val="24"/>
          <w:rtl/>
        </w:rPr>
      </w:pPr>
    </w:p>
    <w:p w14:paraId="5F26238F" w14:textId="552F090D" w:rsidR="00D51387" w:rsidRDefault="00D51387" w:rsidP="00D51387">
      <w:pPr>
        <w:jc w:val="both"/>
        <w:rPr>
          <w:rFonts w:asciiTheme="majorBidi" w:eastAsia="Calibri" w:hAnsiTheme="majorBidi" w:cstheme="majorBidi"/>
          <w:sz w:val="24"/>
          <w:szCs w:val="24"/>
          <w:rtl/>
        </w:rPr>
      </w:pPr>
    </w:p>
    <w:p w14:paraId="087B2B57" w14:textId="783A667E" w:rsidR="00D51387" w:rsidRDefault="00D51387" w:rsidP="00D51387">
      <w:pPr>
        <w:jc w:val="both"/>
        <w:rPr>
          <w:rFonts w:asciiTheme="majorBidi" w:eastAsia="Calibri" w:hAnsiTheme="majorBidi" w:cstheme="majorBidi"/>
          <w:sz w:val="24"/>
          <w:szCs w:val="24"/>
          <w:rtl/>
        </w:rPr>
      </w:pPr>
    </w:p>
    <w:p w14:paraId="737AF152" w14:textId="4E88D93D" w:rsidR="00D51387" w:rsidRDefault="00D51387" w:rsidP="00D51387">
      <w:pPr>
        <w:jc w:val="both"/>
        <w:rPr>
          <w:rFonts w:asciiTheme="majorBidi" w:eastAsia="Calibri" w:hAnsiTheme="majorBidi" w:cstheme="majorBidi"/>
          <w:sz w:val="24"/>
          <w:szCs w:val="24"/>
          <w:rtl/>
        </w:rPr>
      </w:pPr>
    </w:p>
    <w:p w14:paraId="7302DC23" w14:textId="4FC428E5" w:rsidR="00D51387" w:rsidRDefault="00D51387" w:rsidP="00D51387">
      <w:pPr>
        <w:jc w:val="both"/>
        <w:rPr>
          <w:rFonts w:asciiTheme="majorBidi" w:eastAsia="Calibri" w:hAnsiTheme="majorBidi" w:cstheme="majorBidi"/>
          <w:sz w:val="24"/>
          <w:szCs w:val="24"/>
          <w:rtl/>
        </w:rPr>
      </w:pPr>
    </w:p>
    <w:p w14:paraId="3361AE89" w14:textId="45719356" w:rsidR="00D51387" w:rsidRDefault="00D51387" w:rsidP="00D51387">
      <w:pPr>
        <w:jc w:val="both"/>
        <w:rPr>
          <w:rFonts w:asciiTheme="majorBidi" w:eastAsia="Calibri" w:hAnsiTheme="majorBidi" w:cstheme="majorBidi"/>
          <w:sz w:val="24"/>
          <w:szCs w:val="24"/>
          <w:rtl/>
        </w:rPr>
      </w:pPr>
    </w:p>
    <w:p w14:paraId="312E34B7" w14:textId="54A92E97" w:rsidR="00D51387" w:rsidRDefault="00D51387" w:rsidP="00D51387">
      <w:pPr>
        <w:jc w:val="both"/>
        <w:rPr>
          <w:rFonts w:asciiTheme="majorBidi" w:eastAsia="Calibri" w:hAnsiTheme="majorBidi" w:cstheme="majorBidi"/>
          <w:sz w:val="24"/>
          <w:szCs w:val="24"/>
          <w:rtl/>
        </w:rPr>
      </w:pPr>
    </w:p>
    <w:p w14:paraId="796D3616" w14:textId="6DC0E506" w:rsidR="00D51387" w:rsidRDefault="00D51387" w:rsidP="00D51387">
      <w:pPr>
        <w:jc w:val="both"/>
        <w:rPr>
          <w:rFonts w:asciiTheme="majorBidi" w:eastAsia="Calibri" w:hAnsiTheme="majorBidi" w:cstheme="majorBidi"/>
          <w:sz w:val="24"/>
          <w:szCs w:val="24"/>
          <w:rtl/>
        </w:rPr>
      </w:pPr>
    </w:p>
    <w:p w14:paraId="1C1EFAE9" w14:textId="6B8C8D7D" w:rsidR="00D51387" w:rsidRDefault="00D51387" w:rsidP="00D51387">
      <w:pPr>
        <w:jc w:val="both"/>
        <w:rPr>
          <w:rFonts w:asciiTheme="majorBidi" w:eastAsia="Calibri" w:hAnsiTheme="majorBidi" w:cstheme="majorBidi"/>
          <w:sz w:val="24"/>
          <w:szCs w:val="24"/>
          <w:rtl/>
        </w:rPr>
      </w:pPr>
    </w:p>
    <w:p w14:paraId="0A1CF43E" w14:textId="13D29D82" w:rsidR="00D51387" w:rsidRDefault="00D51387" w:rsidP="00D51387">
      <w:pPr>
        <w:jc w:val="both"/>
        <w:rPr>
          <w:rFonts w:asciiTheme="majorBidi" w:eastAsia="Calibri" w:hAnsiTheme="majorBidi" w:cstheme="majorBidi"/>
          <w:sz w:val="24"/>
          <w:szCs w:val="24"/>
          <w:rtl/>
        </w:rPr>
      </w:pPr>
    </w:p>
    <w:p w14:paraId="11F1336F" w14:textId="6D4EED6E" w:rsidR="00D51387" w:rsidRDefault="00D51387" w:rsidP="00D51387">
      <w:pPr>
        <w:jc w:val="both"/>
        <w:rPr>
          <w:rFonts w:asciiTheme="majorBidi" w:eastAsia="Calibri" w:hAnsiTheme="majorBidi" w:cstheme="majorBidi"/>
          <w:sz w:val="24"/>
          <w:szCs w:val="24"/>
          <w:rtl/>
        </w:rPr>
      </w:pPr>
    </w:p>
    <w:p w14:paraId="07F79970" w14:textId="40C6168F" w:rsidR="00D51387" w:rsidRDefault="00D51387" w:rsidP="00D51387">
      <w:pPr>
        <w:jc w:val="both"/>
        <w:rPr>
          <w:rFonts w:asciiTheme="majorBidi" w:eastAsia="Calibri" w:hAnsiTheme="majorBidi" w:cstheme="majorBidi"/>
          <w:sz w:val="24"/>
          <w:szCs w:val="24"/>
          <w:rtl/>
        </w:rPr>
      </w:pPr>
    </w:p>
    <w:p w14:paraId="0A5C409F" w14:textId="1027D0FB" w:rsidR="00D51387" w:rsidRDefault="00D51387" w:rsidP="00D51387">
      <w:pPr>
        <w:jc w:val="both"/>
        <w:rPr>
          <w:rFonts w:asciiTheme="majorBidi" w:eastAsia="Calibri" w:hAnsiTheme="majorBidi" w:cstheme="majorBidi"/>
          <w:sz w:val="24"/>
          <w:szCs w:val="24"/>
          <w:rtl/>
        </w:rPr>
      </w:pPr>
    </w:p>
    <w:p w14:paraId="6288F005" w14:textId="3A6CCA8E" w:rsidR="00D51387" w:rsidRDefault="00D51387" w:rsidP="00D51387">
      <w:pPr>
        <w:jc w:val="both"/>
        <w:rPr>
          <w:rFonts w:asciiTheme="majorBidi" w:eastAsia="Calibri" w:hAnsiTheme="majorBidi" w:cstheme="majorBidi"/>
          <w:sz w:val="24"/>
          <w:szCs w:val="24"/>
          <w:rtl/>
        </w:rPr>
      </w:pPr>
    </w:p>
    <w:p w14:paraId="34E42E64" w14:textId="77777777" w:rsidR="00D51387" w:rsidRDefault="00D51387" w:rsidP="00D51387">
      <w:pPr>
        <w:jc w:val="both"/>
        <w:rPr>
          <w:rFonts w:asciiTheme="majorBidi" w:eastAsia="Calibri" w:hAnsiTheme="majorBidi" w:cstheme="majorBidi"/>
          <w:b/>
          <w:bCs/>
          <w:sz w:val="28"/>
          <w:szCs w:val="28"/>
          <w:rtl/>
        </w:rPr>
      </w:pPr>
      <w:r w:rsidRPr="00A123AE">
        <w:rPr>
          <w:rFonts w:asciiTheme="majorBidi" w:eastAsia="Calibri" w:hAnsiTheme="majorBidi" w:cs="Times New Roman"/>
          <w:b/>
          <w:bCs/>
          <w:sz w:val="28"/>
          <w:szCs w:val="28"/>
          <w:rtl/>
        </w:rPr>
        <w:t>فرنسا والإمبريالية: تحولات نقد المعرفة الاستعمارية في سياق حرب الجزائر</w:t>
      </w:r>
    </w:p>
    <w:p w14:paraId="7AA38226" w14:textId="1F1EF59A" w:rsidR="00D51387" w:rsidRDefault="00D51387" w:rsidP="00D51387">
      <w:pPr>
        <w:jc w:val="both"/>
        <w:rPr>
          <w:rFonts w:asciiTheme="majorBidi" w:eastAsia="Calibri" w:hAnsiTheme="majorBidi" w:cstheme="majorBidi"/>
          <w:sz w:val="24"/>
          <w:szCs w:val="24"/>
          <w:rtl/>
        </w:rPr>
      </w:pPr>
    </w:p>
    <w:p w14:paraId="3C74EA33" w14:textId="77777777" w:rsidR="00D51387" w:rsidRDefault="00D51387" w:rsidP="00D51387">
      <w:pPr>
        <w:jc w:val="both"/>
        <w:rPr>
          <w:rFonts w:asciiTheme="majorBidi" w:eastAsia="Calibri" w:hAnsiTheme="majorBidi" w:cstheme="majorBidi"/>
          <w:sz w:val="24"/>
          <w:szCs w:val="24"/>
          <w:rtl/>
        </w:rPr>
      </w:pPr>
      <w:r w:rsidRPr="00A123AE">
        <w:rPr>
          <w:rFonts w:asciiTheme="majorBidi" w:eastAsia="Calibri" w:hAnsiTheme="majorBidi" w:cs="Times New Roman"/>
          <w:sz w:val="24"/>
          <w:szCs w:val="24"/>
          <w:rtl/>
        </w:rPr>
        <w:t>يُعَدّ تاريخ النقد الفكري للاستعمار في فرنسا أقل شهرة مقارنةً بنظيره في بريطانيا، لذلك من الملائم أن نبدأ بالحديث عن المجال السياسي. فقد أدى تفكيك الإمبراطورية الفرنسية، خاصة في ظل الصراع حول الجزائر، إلى نقاش طويل ومستمر طعن في مضامين "العلم" الاستعماري الفرنسي وفي طبيعة العلاقة الاستعمارية ذاتها. ولأن حرب الجزائر لم تكن تدور حول إقليم استعماري بعيد فحسب، بل تعلّقت أيضًا بجزء اعتُبر قانونيًا جزءًا من الأراضي الوطنية الفرنسية، كان الجدل الفكري داخل فرنسا أكثر حدة من النقاشات التي صاحبت نهاية الإمبراطورية البريطانية أو حتى حرب فيتنام في الولايات المتحدة. فالتخلي عن مستعمرة أجنبية يُعتبر أمرًا مختلفًا تمامًا عن التنازل عن جزء يُعدّ جزءًا لا يتجزأ من الوطن</w:t>
      </w:r>
      <w:r>
        <w:rPr>
          <w:rFonts w:asciiTheme="majorBidi" w:eastAsia="Calibri" w:hAnsiTheme="majorBidi" w:cstheme="majorBidi" w:hint="cs"/>
          <w:sz w:val="24"/>
          <w:szCs w:val="24"/>
          <w:rtl/>
        </w:rPr>
        <w:t>.</w:t>
      </w:r>
    </w:p>
    <w:p w14:paraId="6C498768" w14:textId="77777777" w:rsidR="00D51387" w:rsidRDefault="00D51387" w:rsidP="00D51387">
      <w:pPr>
        <w:jc w:val="both"/>
        <w:rPr>
          <w:rFonts w:asciiTheme="majorBidi" w:eastAsia="Calibri" w:hAnsiTheme="majorBidi" w:cs="Times New Roman"/>
          <w:sz w:val="24"/>
          <w:szCs w:val="24"/>
          <w:rtl/>
        </w:rPr>
      </w:pPr>
      <w:r w:rsidRPr="00ED31DA">
        <w:rPr>
          <w:rFonts w:asciiTheme="majorBidi" w:eastAsia="Calibri" w:hAnsiTheme="majorBidi" w:cs="Times New Roman"/>
          <w:sz w:val="24"/>
          <w:szCs w:val="24"/>
          <w:rtl/>
        </w:rPr>
        <w:t>شهدت فرنسا نقاشًا محتدمًا حول الجزائر في سياق اضطرابات تفكيك الاستعمار التي اجتاحت جنوب شرق آسيا وإفريقيا والمغرب العربي، مما أسفر عن انقسامات عميقة داخل الطيفين السياسيين، اليساري واليميني. ومع ذلك، كانت وتيرة التعبئة الشعبية بطيئة خلال المراحل الأولى، نتيجة نجاح أنصار الإمبراطورية في تأطير الصراع كأنه معركة وجودية تتعلق بمستقبل فرنسا نفسها. كما ساهمت في ذلك المواقف العنصرية تجاه الشعوب المستعمرة التي كانت مترسخة في المجتمع الفرنسي، إلى جانب محدودية التغطية الإعلامية الموجهة للحرب. حتى في المراحل المتقدمة من النزاع، استمرت أغلبية كبيرة ضمن الأحزاب السياسية الرئيسة</w:t>
      </w:r>
      <w:r>
        <w:rPr>
          <w:rFonts w:asciiTheme="majorBidi" w:eastAsia="Calibri" w:hAnsiTheme="majorBidi" w:cs="Times New Roman" w:hint="cs"/>
          <w:sz w:val="24"/>
          <w:szCs w:val="24"/>
          <w:rtl/>
        </w:rPr>
        <w:t xml:space="preserve">، </w:t>
      </w:r>
      <w:r w:rsidRPr="00ED31DA">
        <w:rPr>
          <w:rFonts w:asciiTheme="majorBidi" w:eastAsia="Calibri" w:hAnsiTheme="majorBidi" w:cs="Times New Roman"/>
          <w:sz w:val="24"/>
          <w:szCs w:val="24"/>
          <w:rtl/>
        </w:rPr>
        <w:t xml:space="preserve">من الشيوعيين في اليسار إلى </w:t>
      </w:r>
      <w:proofErr w:type="spellStart"/>
      <w:r w:rsidRPr="00ED31DA">
        <w:rPr>
          <w:rFonts w:asciiTheme="majorBidi" w:eastAsia="Calibri" w:hAnsiTheme="majorBidi" w:cs="Times New Roman"/>
          <w:sz w:val="24"/>
          <w:szCs w:val="24"/>
          <w:rtl/>
        </w:rPr>
        <w:t>الغوليين</w:t>
      </w:r>
      <w:proofErr w:type="spellEnd"/>
      <w:r w:rsidRPr="00ED31DA">
        <w:rPr>
          <w:rFonts w:asciiTheme="majorBidi" w:eastAsia="Calibri" w:hAnsiTheme="majorBidi" w:cs="Times New Roman"/>
          <w:sz w:val="24"/>
          <w:szCs w:val="24"/>
          <w:rtl/>
        </w:rPr>
        <w:t xml:space="preserve"> في اليمين</w:t>
      </w:r>
      <w:r>
        <w:rPr>
          <w:rFonts w:asciiTheme="majorBidi" w:eastAsia="Calibri" w:hAnsiTheme="majorBidi" w:cs="Times New Roman" w:hint="cs"/>
          <w:sz w:val="24"/>
          <w:szCs w:val="24"/>
          <w:rtl/>
        </w:rPr>
        <w:t xml:space="preserve">، </w:t>
      </w:r>
      <w:r w:rsidRPr="00ED31DA">
        <w:rPr>
          <w:rFonts w:asciiTheme="majorBidi" w:eastAsia="Calibri" w:hAnsiTheme="majorBidi" w:cs="Times New Roman"/>
          <w:sz w:val="24"/>
          <w:szCs w:val="24"/>
          <w:rtl/>
        </w:rPr>
        <w:t>بدعم فكرة "الجزائر الفرنسية". وفي المقابل، لم تلقَ قضية استقلال الجزائر سوى تأييد محدود من تحالف صغير شمل مقاتلين سابقين من المقاومة الفرنسية، وقوميين، ومثقفين كاثوليك ذوي ميول يسارية. وجدير بالذكر أن دعم جبهة التحرير الوطني بقي موقفًا هامشيًا في فرنسا حتى اللحظات الأخيرة التي سبقت استقلال الجزائر</w:t>
      </w:r>
      <w:r>
        <w:rPr>
          <w:rFonts w:asciiTheme="majorBidi" w:eastAsia="Calibri" w:hAnsiTheme="majorBidi" w:cs="Times New Roman" w:hint="cs"/>
          <w:sz w:val="24"/>
          <w:szCs w:val="24"/>
          <w:rtl/>
        </w:rPr>
        <w:t>.</w:t>
      </w:r>
    </w:p>
    <w:p w14:paraId="5BDC9BAA" w14:textId="77777777" w:rsidR="00D51387" w:rsidRDefault="00D51387" w:rsidP="00D51387">
      <w:pPr>
        <w:jc w:val="both"/>
        <w:rPr>
          <w:rFonts w:asciiTheme="majorBidi" w:eastAsia="Calibri" w:hAnsiTheme="majorBidi" w:cstheme="majorBidi"/>
          <w:sz w:val="24"/>
          <w:szCs w:val="24"/>
          <w:rtl/>
        </w:rPr>
      </w:pPr>
      <w:r>
        <w:rPr>
          <w:rFonts w:asciiTheme="majorBidi" w:eastAsia="Calibri" w:hAnsiTheme="majorBidi" w:cs="Times New Roman" w:hint="cs"/>
          <w:sz w:val="24"/>
          <w:szCs w:val="24"/>
          <w:rtl/>
        </w:rPr>
        <w:t>م</w:t>
      </w:r>
      <w:r w:rsidRPr="00ED31DA">
        <w:rPr>
          <w:rFonts w:asciiTheme="majorBidi" w:eastAsia="Calibri" w:hAnsiTheme="majorBidi" w:cs="Times New Roman"/>
          <w:sz w:val="24"/>
          <w:szCs w:val="24"/>
          <w:rtl/>
        </w:rPr>
        <w:t xml:space="preserve">ع تصاعد حدة الصراع الجزائري، توسع نطاق المعركة الثقافية بشكل ملحوظ. فقد بادر المثقفون الجزائريون وحلفاؤهم الفرنسيون بشن هجوم حازم على التاريخ الاستعماري والعلوم الاجتماعية المرتبطة به. وعلى عكس المشهد في بريطانيا والولايات المتحدة، تميز نقد المعارف الاستعمارية في فرنسا باتساع مجاله ليشمل ميادين فكرية متعددة، متجاوزًا الأنثروبولوجيا ليطول التاريخ والعلوم الاجتماعية بشكل عام. واستلهامًا من أفكار جان بول سارتر، قدم مفكرون من العالم الثالث، مثل ألبير </w:t>
      </w:r>
      <w:proofErr w:type="spellStart"/>
      <w:r w:rsidRPr="00ED31DA">
        <w:rPr>
          <w:rFonts w:asciiTheme="majorBidi" w:eastAsia="Calibri" w:hAnsiTheme="majorBidi" w:cs="Times New Roman"/>
          <w:sz w:val="24"/>
          <w:szCs w:val="24"/>
          <w:rtl/>
        </w:rPr>
        <w:t>مِمي</w:t>
      </w:r>
      <w:proofErr w:type="spellEnd"/>
      <w:r w:rsidRPr="00ED31DA">
        <w:rPr>
          <w:rFonts w:asciiTheme="majorBidi" w:eastAsia="Calibri" w:hAnsiTheme="majorBidi" w:cs="Times New Roman"/>
          <w:sz w:val="24"/>
          <w:szCs w:val="24"/>
          <w:rtl/>
        </w:rPr>
        <w:t xml:space="preserve"> </w:t>
      </w:r>
      <w:proofErr w:type="spellStart"/>
      <w:r w:rsidRPr="00ED31DA">
        <w:rPr>
          <w:rFonts w:asciiTheme="majorBidi" w:eastAsia="Calibri" w:hAnsiTheme="majorBidi" w:cs="Times New Roman"/>
          <w:sz w:val="24"/>
          <w:szCs w:val="24"/>
          <w:rtl/>
        </w:rPr>
        <w:t>وفرانتز</w:t>
      </w:r>
      <w:proofErr w:type="spellEnd"/>
      <w:r w:rsidRPr="00ED31DA">
        <w:rPr>
          <w:rFonts w:asciiTheme="majorBidi" w:eastAsia="Calibri" w:hAnsiTheme="majorBidi" w:cs="Times New Roman"/>
          <w:sz w:val="24"/>
          <w:szCs w:val="24"/>
          <w:rtl/>
        </w:rPr>
        <w:t xml:space="preserve"> فانون، خلال أواخر خمسينيات القرن الماضي انتقادًا حادًا للعنصرية المرتبطة بالاستعمار. وبرزت مجلة </w:t>
      </w:r>
      <w:r w:rsidRPr="00ED31DA">
        <w:rPr>
          <w:rFonts w:asciiTheme="majorBidi" w:eastAsia="Calibri" w:hAnsiTheme="majorBidi" w:cs="Times New Roman"/>
          <w:i/>
          <w:iCs/>
          <w:sz w:val="24"/>
          <w:szCs w:val="24"/>
          <w:rtl/>
        </w:rPr>
        <w:t>الأزمنة الحديثة (</w:t>
      </w:r>
      <w:r w:rsidRPr="00ED31DA">
        <w:rPr>
          <w:rFonts w:asciiTheme="majorBidi" w:eastAsia="Calibri" w:hAnsiTheme="majorBidi" w:cstheme="majorBidi"/>
          <w:i/>
          <w:iCs/>
          <w:sz w:val="24"/>
          <w:szCs w:val="24"/>
        </w:rPr>
        <w:t xml:space="preserve">Les Temps </w:t>
      </w:r>
      <w:proofErr w:type="spellStart"/>
      <w:r w:rsidRPr="00ED31DA">
        <w:rPr>
          <w:rFonts w:asciiTheme="majorBidi" w:eastAsia="Calibri" w:hAnsiTheme="majorBidi" w:cstheme="majorBidi"/>
          <w:i/>
          <w:iCs/>
          <w:sz w:val="24"/>
          <w:szCs w:val="24"/>
        </w:rPr>
        <w:t>modernes</w:t>
      </w:r>
      <w:proofErr w:type="spellEnd"/>
      <w:r w:rsidRPr="00ED31DA">
        <w:rPr>
          <w:rFonts w:asciiTheme="majorBidi" w:eastAsia="Calibri" w:hAnsiTheme="majorBidi" w:cs="Times New Roman"/>
          <w:sz w:val="24"/>
          <w:szCs w:val="24"/>
          <w:rtl/>
        </w:rPr>
        <w:t>)، التي أسسها سارتر، كمنصة رئيسية لهذا النقد الفكري.</w:t>
      </w:r>
    </w:p>
    <w:p w14:paraId="394C9E67" w14:textId="77777777" w:rsidR="00D51387" w:rsidRDefault="00D51387" w:rsidP="00D51387">
      <w:pPr>
        <w:jc w:val="both"/>
        <w:rPr>
          <w:rFonts w:asciiTheme="majorBidi" w:eastAsia="Calibri" w:hAnsiTheme="majorBidi" w:cstheme="majorBidi"/>
          <w:sz w:val="24"/>
          <w:szCs w:val="24"/>
          <w:rtl/>
        </w:rPr>
      </w:pPr>
      <w:r w:rsidRPr="00F17398">
        <w:rPr>
          <w:rFonts w:asciiTheme="majorBidi" w:eastAsia="Calibri" w:hAnsiTheme="majorBidi" w:cs="Times New Roman"/>
          <w:sz w:val="24"/>
          <w:szCs w:val="24"/>
          <w:rtl/>
        </w:rPr>
        <w:t>وقد نُشرت في هذه المجلة أجزاء من العمل المضادّ</w:t>
      </w:r>
      <w:r>
        <w:rPr>
          <w:rFonts w:asciiTheme="majorBidi" w:eastAsia="Calibri" w:hAnsiTheme="majorBidi" w:cs="Times New Roman" w:hint="cs"/>
          <w:sz w:val="24"/>
          <w:szCs w:val="24"/>
          <w:rtl/>
        </w:rPr>
        <w:t xml:space="preserve"> </w:t>
      </w:r>
      <w:proofErr w:type="spellStart"/>
      <w:r w:rsidRPr="00F17398">
        <w:rPr>
          <w:rFonts w:asciiTheme="majorBidi" w:eastAsia="Calibri" w:hAnsiTheme="majorBidi" w:cs="Times New Roman"/>
          <w:sz w:val="24"/>
          <w:szCs w:val="24"/>
          <w:rtl/>
        </w:rPr>
        <w:t>الإثنوغرافي</w:t>
      </w:r>
      <w:proofErr w:type="spellEnd"/>
      <w:r w:rsidRPr="00F17398">
        <w:rPr>
          <w:rFonts w:asciiTheme="majorBidi" w:eastAsia="Calibri" w:hAnsiTheme="majorBidi" w:cs="Times New Roman"/>
          <w:sz w:val="24"/>
          <w:szCs w:val="24"/>
          <w:rtl/>
        </w:rPr>
        <w:t xml:space="preserve"> البارز </w:t>
      </w:r>
      <w:proofErr w:type="spellStart"/>
      <w:r w:rsidRPr="00F17398">
        <w:rPr>
          <w:rFonts w:asciiTheme="majorBidi" w:eastAsia="Calibri" w:hAnsiTheme="majorBidi" w:cs="Times New Roman"/>
          <w:sz w:val="24"/>
          <w:szCs w:val="24"/>
          <w:rtl/>
        </w:rPr>
        <w:t>لفانون</w:t>
      </w:r>
      <w:proofErr w:type="spellEnd"/>
      <w:r w:rsidRPr="00F17398">
        <w:rPr>
          <w:rFonts w:asciiTheme="majorBidi" w:eastAsia="Calibri" w:hAnsiTheme="majorBidi" w:cs="Times New Roman"/>
          <w:sz w:val="24"/>
          <w:szCs w:val="24"/>
          <w:rtl/>
        </w:rPr>
        <w:t xml:space="preserve">، </w:t>
      </w:r>
      <w:r w:rsidRPr="00F17398">
        <w:rPr>
          <w:rFonts w:asciiTheme="majorBidi" w:eastAsia="Calibri" w:hAnsiTheme="majorBidi" w:cs="Times New Roman"/>
          <w:i/>
          <w:iCs/>
          <w:sz w:val="24"/>
          <w:szCs w:val="24"/>
          <w:rtl/>
        </w:rPr>
        <w:t>استعمار يحتضر،</w:t>
      </w:r>
      <w:r w:rsidRPr="00F17398">
        <w:rPr>
          <w:rFonts w:asciiTheme="majorBidi" w:eastAsia="Calibri" w:hAnsiTheme="majorBidi" w:cs="Times New Roman"/>
          <w:sz w:val="24"/>
          <w:szCs w:val="24"/>
          <w:rtl/>
        </w:rPr>
        <w:t xml:space="preserve"> إلى جانب أعمال مؤرّخين قوميين جزائريين مثل مصطفى الأشرف ومحمد شريف ساحلي، الذين دمّروا الأسس المعرفية للتأريخ الاستعماري للجزائر ودعوا صراحةً إلى تصفية الاستعمار عن التاريخ. كما لعبت منشورات كاثوليكية يسارية، ولا سيّما مجلتا </w:t>
      </w:r>
      <w:r w:rsidRPr="00F17398">
        <w:rPr>
          <w:rFonts w:asciiTheme="majorBidi" w:eastAsia="Calibri" w:hAnsiTheme="majorBidi" w:cstheme="majorBidi"/>
          <w:i/>
          <w:iCs/>
          <w:sz w:val="24"/>
          <w:szCs w:val="24"/>
        </w:rPr>
        <w:t>Esprit</w:t>
      </w:r>
      <w:r w:rsidRPr="00F17398">
        <w:rPr>
          <w:rFonts w:asciiTheme="majorBidi" w:eastAsia="Calibri" w:hAnsiTheme="majorBidi" w:cs="Times New Roman"/>
          <w:i/>
          <w:iCs/>
          <w:sz w:val="24"/>
          <w:szCs w:val="24"/>
          <w:rtl/>
        </w:rPr>
        <w:t xml:space="preserve"> </w:t>
      </w:r>
      <w:r w:rsidRPr="00F17398">
        <w:rPr>
          <w:rFonts w:asciiTheme="majorBidi" w:eastAsia="Calibri" w:hAnsiTheme="majorBidi" w:cs="Times New Roman" w:hint="cs"/>
          <w:i/>
          <w:iCs/>
          <w:sz w:val="24"/>
          <w:szCs w:val="24"/>
          <w:rtl/>
        </w:rPr>
        <w:t>و</w:t>
      </w:r>
      <w:r w:rsidRPr="00F17398">
        <w:rPr>
          <w:rFonts w:asciiTheme="majorBidi" w:eastAsia="Calibri" w:hAnsiTheme="majorBidi" w:cs="Times New Roman"/>
          <w:i/>
          <w:iCs/>
          <w:sz w:val="24"/>
          <w:szCs w:val="24"/>
          <w:rtl/>
        </w:rPr>
        <w:t xml:space="preserve"> </w:t>
      </w:r>
      <w:proofErr w:type="spellStart"/>
      <w:r w:rsidRPr="00F17398">
        <w:rPr>
          <w:rFonts w:asciiTheme="majorBidi" w:eastAsia="Calibri" w:hAnsiTheme="majorBidi" w:cstheme="majorBidi"/>
          <w:i/>
          <w:iCs/>
          <w:sz w:val="24"/>
          <w:szCs w:val="24"/>
        </w:rPr>
        <w:t>Témoignage</w:t>
      </w:r>
      <w:proofErr w:type="spellEnd"/>
      <w:r w:rsidRPr="00F17398">
        <w:rPr>
          <w:rFonts w:asciiTheme="majorBidi" w:eastAsia="Calibri" w:hAnsiTheme="majorBidi" w:cstheme="majorBidi"/>
          <w:i/>
          <w:iCs/>
          <w:sz w:val="24"/>
          <w:szCs w:val="24"/>
        </w:rPr>
        <w:t xml:space="preserve"> </w:t>
      </w:r>
      <w:proofErr w:type="spellStart"/>
      <w:r w:rsidRPr="00F17398">
        <w:rPr>
          <w:rFonts w:asciiTheme="majorBidi" w:eastAsia="Calibri" w:hAnsiTheme="majorBidi" w:cstheme="majorBidi"/>
          <w:i/>
          <w:iCs/>
          <w:sz w:val="24"/>
          <w:szCs w:val="24"/>
        </w:rPr>
        <w:t>chrétien</w:t>
      </w:r>
      <w:proofErr w:type="spellEnd"/>
      <w:r w:rsidRPr="00F17398">
        <w:rPr>
          <w:rFonts w:asciiTheme="majorBidi" w:eastAsia="Calibri" w:hAnsiTheme="majorBidi" w:cs="Times New Roman"/>
          <w:sz w:val="24"/>
          <w:szCs w:val="24"/>
          <w:rtl/>
        </w:rPr>
        <w:t>، دورًا مهمًا في توجيه الهجمات الفكرية على الفكر الاستعماري.</w:t>
      </w:r>
    </w:p>
    <w:p w14:paraId="4B65A07F" w14:textId="77777777" w:rsidR="00D51387" w:rsidRDefault="00D51387" w:rsidP="00D51387">
      <w:pPr>
        <w:jc w:val="both"/>
        <w:rPr>
          <w:rFonts w:asciiTheme="majorBidi" w:eastAsia="Calibri" w:hAnsiTheme="majorBidi" w:cstheme="majorBidi"/>
          <w:sz w:val="24"/>
          <w:szCs w:val="24"/>
          <w:rtl/>
        </w:rPr>
      </w:pPr>
      <w:r w:rsidRPr="00F17398">
        <w:rPr>
          <w:rFonts w:asciiTheme="majorBidi" w:eastAsia="Calibri" w:hAnsiTheme="majorBidi" w:cs="Times New Roman"/>
          <w:sz w:val="24"/>
          <w:szCs w:val="24"/>
          <w:rtl/>
        </w:rPr>
        <w:t xml:space="preserve">العمل الأبرز الذي نتج عن صراع إنهاء الاستعمار في فرنسا كان كتاب </w:t>
      </w:r>
      <w:proofErr w:type="spellStart"/>
      <w:r w:rsidRPr="00F17398">
        <w:rPr>
          <w:rFonts w:asciiTheme="majorBidi" w:eastAsia="Calibri" w:hAnsiTheme="majorBidi" w:cs="Times New Roman"/>
          <w:sz w:val="24"/>
          <w:szCs w:val="24"/>
          <w:rtl/>
        </w:rPr>
        <w:t>فرانتز</w:t>
      </w:r>
      <w:proofErr w:type="spellEnd"/>
      <w:r w:rsidRPr="00F17398">
        <w:rPr>
          <w:rFonts w:asciiTheme="majorBidi" w:eastAsia="Calibri" w:hAnsiTheme="majorBidi" w:cs="Times New Roman"/>
          <w:sz w:val="24"/>
          <w:szCs w:val="24"/>
          <w:rtl/>
        </w:rPr>
        <w:t xml:space="preserve"> فانون </w:t>
      </w:r>
      <w:r w:rsidRPr="00F17398">
        <w:rPr>
          <w:rFonts w:asciiTheme="majorBidi" w:eastAsia="Calibri" w:hAnsiTheme="majorBidi" w:cs="Times New Roman"/>
          <w:i/>
          <w:iCs/>
          <w:sz w:val="24"/>
          <w:szCs w:val="24"/>
          <w:rtl/>
        </w:rPr>
        <w:t>"معذَّبو الأرض"</w:t>
      </w:r>
      <w:r w:rsidRPr="00F17398">
        <w:rPr>
          <w:rFonts w:asciiTheme="majorBidi" w:eastAsia="Calibri" w:hAnsiTheme="majorBidi" w:cs="Times New Roman"/>
          <w:sz w:val="24"/>
          <w:szCs w:val="24"/>
          <w:rtl/>
        </w:rPr>
        <w:t xml:space="preserve"> الصادر عام 1961. جمع هذا الكتاب بين دوره كدليل نضالي لمناهضة الإمبريالية وتقديمه لتحليل عميق للاستعمار باعتباره نظامًا يرتكز على العنف والعنصرية والقمع. شكّل الكتاب تحديًا راديكاليًا للافتراضات الأساسية التي تبنتها العلوم الاجتماعية الاستعمارية، وقدم رؤية تحليلية مضادة ذات قوة كبيرة. فانون دحض فكرة أن الاستعمار الفرنسي في الجزائر كان مجرد مشروع للتنمية والاستثمار (</w:t>
      </w:r>
      <w:proofErr w:type="spellStart"/>
      <w:r w:rsidRPr="00F17398">
        <w:rPr>
          <w:rFonts w:asciiTheme="majorBidi" w:eastAsia="Calibri" w:hAnsiTheme="majorBidi" w:cstheme="majorBidi"/>
          <w:sz w:val="24"/>
          <w:szCs w:val="24"/>
        </w:rPr>
        <w:t>mise</w:t>
      </w:r>
      <w:proofErr w:type="spellEnd"/>
      <w:r w:rsidRPr="00F17398">
        <w:rPr>
          <w:rFonts w:asciiTheme="majorBidi" w:eastAsia="Calibri" w:hAnsiTheme="majorBidi" w:cstheme="majorBidi"/>
          <w:sz w:val="24"/>
          <w:szCs w:val="24"/>
        </w:rPr>
        <w:t xml:space="preserve"> </w:t>
      </w:r>
      <w:proofErr w:type="spellStart"/>
      <w:r w:rsidRPr="00F17398">
        <w:rPr>
          <w:rFonts w:asciiTheme="majorBidi" w:eastAsia="Calibri" w:hAnsiTheme="majorBidi" w:cstheme="majorBidi"/>
          <w:sz w:val="24"/>
          <w:szCs w:val="24"/>
        </w:rPr>
        <w:t>en</w:t>
      </w:r>
      <w:proofErr w:type="spellEnd"/>
      <w:r w:rsidRPr="00F17398">
        <w:rPr>
          <w:rFonts w:asciiTheme="majorBidi" w:eastAsia="Calibri" w:hAnsiTheme="majorBidi" w:cstheme="majorBidi"/>
          <w:sz w:val="24"/>
          <w:szCs w:val="24"/>
        </w:rPr>
        <w:t xml:space="preserve"> </w:t>
      </w:r>
      <w:proofErr w:type="spellStart"/>
      <w:r w:rsidRPr="00F17398">
        <w:rPr>
          <w:rFonts w:asciiTheme="majorBidi" w:eastAsia="Calibri" w:hAnsiTheme="majorBidi" w:cstheme="majorBidi"/>
          <w:sz w:val="24"/>
          <w:szCs w:val="24"/>
        </w:rPr>
        <w:t>valeur</w:t>
      </w:r>
      <w:proofErr w:type="spellEnd"/>
      <w:r w:rsidRPr="00F17398">
        <w:rPr>
          <w:rFonts w:asciiTheme="majorBidi" w:eastAsia="Calibri" w:hAnsiTheme="majorBidi" w:cs="Times New Roman"/>
          <w:sz w:val="24"/>
          <w:szCs w:val="24"/>
          <w:rtl/>
        </w:rPr>
        <w:t>)، مشددًا على طبيعته القمعية الشاملة باعتباره مشروعًا يهدف إلى الهيمنة المادية والفكرية بشكل متكامل.</w:t>
      </w:r>
    </w:p>
    <w:p w14:paraId="14CB0221" w14:textId="77777777" w:rsidR="00D51387" w:rsidRDefault="00D51387" w:rsidP="00D51387">
      <w:pPr>
        <w:jc w:val="both"/>
        <w:rPr>
          <w:rFonts w:asciiTheme="majorBidi" w:eastAsia="Calibri" w:hAnsiTheme="majorBidi" w:cstheme="majorBidi"/>
          <w:sz w:val="24"/>
          <w:szCs w:val="24"/>
          <w:rtl/>
        </w:rPr>
      </w:pPr>
      <w:r w:rsidRPr="00F17398">
        <w:rPr>
          <w:rFonts w:asciiTheme="majorBidi" w:eastAsia="Calibri" w:hAnsiTheme="majorBidi" w:cs="Times New Roman"/>
          <w:sz w:val="24"/>
          <w:szCs w:val="24"/>
          <w:rtl/>
        </w:rPr>
        <w:t>لم يلتزم فانون دومًا بالتمييز الدقيق بين السياق الجزائري وسياقات بقية دول العالم الثالث التي عمم عليها رؤاه وتحليلاته. وقد أدى انتقاله من تناول الحالة الجزائرية إلى التركيز على العالم الثالث بشكل عام إلى بروز نزعة مفرطة في إبراز دور العنف، وطرح تصورٍ ثنائي حاد للصراع كونه مواجهة شاملة لا تقبل الحلول الوسطى. وتجدر الإشارة إلى أن هذا الطابع كان أكثر ارتباطًا بالسياق الخاص للاستعمار الاستيطاني في الجزائر مقارنة بأنماط أخرى من الاستعمار الأوروبي</w:t>
      </w:r>
      <w:r>
        <w:rPr>
          <w:rFonts w:asciiTheme="majorBidi" w:eastAsia="Calibri" w:hAnsiTheme="majorBidi" w:cstheme="majorBidi" w:hint="cs"/>
          <w:sz w:val="24"/>
          <w:szCs w:val="24"/>
          <w:rtl/>
        </w:rPr>
        <w:t>.</w:t>
      </w:r>
    </w:p>
    <w:p w14:paraId="4B1D653C" w14:textId="77777777" w:rsidR="00D51387" w:rsidRDefault="00D51387" w:rsidP="00D51387">
      <w:pPr>
        <w:jc w:val="both"/>
        <w:rPr>
          <w:rFonts w:asciiTheme="majorBidi" w:eastAsia="Calibri" w:hAnsiTheme="majorBidi" w:cstheme="majorBidi"/>
          <w:sz w:val="24"/>
          <w:szCs w:val="24"/>
          <w:rtl/>
        </w:rPr>
      </w:pPr>
      <w:r w:rsidRPr="007F5C66">
        <w:rPr>
          <w:rFonts w:asciiTheme="majorBidi" w:eastAsia="Calibri" w:hAnsiTheme="majorBidi" w:cs="Times New Roman"/>
          <w:sz w:val="24"/>
          <w:szCs w:val="24"/>
          <w:rtl/>
        </w:rPr>
        <w:t xml:space="preserve">أثر العديد من المفكرين الفرنسيين، مثل فيليب </w:t>
      </w:r>
      <w:proofErr w:type="spellStart"/>
      <w:r w:rsidRPr="007F5C66">
        <w:rPr>
          <w:rFonts w:asciiTheme="majorBidi" w:eastAsia="Calibri" w:hAnsiTheme="majorBidi" w:cs="Times New Roman"/>
          <w:sz w:val="24"/>
          <w:szCs w:val="24"/>
          <w:rtl/>
        </w:rPr>
        <w:t>لوكاس</w:t>
      </w:r>
      <w:proofErr w:type="spellEnd"/>
      <w:r w:rsidRPr="007F5C66">
        <w:rPr>
          <w:rFonts w:asciiTheme="majorBidi" w:eastAsia="Calibri" w:hAnsiTheme="majorBidi" w:cs="Times New Roman"/>
          <w:sz w:val="24"/>
          <w:szCs w:val="24"/>
          <w:rtl/>
        </w:rPr>
        <w:t xml:space="preserve">، </w:t>
      </w:r>
      <w:proofErr w:type="spellStart"/>
      <w:r w:rsidRPr="007F5C66">
        <w:rPr>
          <w:rFonts w:asciiTheme="majorBidi" w:eastAsia="Calibri" w:hAnsiTheme="majorBidi" w:cs="Times New Roman"/>
          <w:sz w:val="24"/>
          <w:szCs w:val="24"/>
          <w:rtl/>
        </w:rPr>
        <w:t>ولوكاس</w:t>
      </w:r>
      <w:proofErr w:type="spellEnd"/>
      <w:r w:rsidRPr="007F5C66">
        <w:rPr>
          <w:rFonts w:asciiTheme="majorBidi" w:eastAsia="Calibri" w:hAnsiTheme="majorBidi" w:cs="Times New Roman"/>
          <w:sz w:val="24"/>
          <w:szCs w:val="24"/>
          <w:rtl/>
        </w:rPr>
        <w:t xml:space="preserve"> وفاتان، وجيرار </w:t>
      </w:r>
      <w:proofErr w:type="spellStart"/>
      <w:r w:rsidRPr="007F5C66">
        <w:rPr>
          <w:rFonts w:asciiTheme="majorBidi" w:eastAsia="Calibri" w:hAnsiTheme="majorBidi" w:cs="Times New Roman"/>
          <w:sz w:val="24"/>
          <w:szCs w:val="24"/>
          <w:rtl/>
        </w:rPr>
        <w:t>لوكلير</w:t>
      </w:r>
      <w:proofErr w:type="spellEnd"/>
      <w:r w:rsidRPr="007F5C66">
        <w:rPr>
          <w:rFonts w:asciiTheme="majorBidi" w:eastAsia="Calibri" w:hAnsiTheme="majorBidi" w:cs="Times New Roman"/>
          <w:sz w:val="24"/>
          <w:szCs w:val="24"/>
          <w:rtl/>
        </w:rPr>
        <w:t xml:space="preserve">، وجان كوبان، وغيرهم بأعمال فانون التي تركت بصمة عميقة على الكتابات اللاحقة في سياقات متعددة. ظل موضوع إنهاء الاستعمار حاضرًا بقوة في المشهد الثقافي الفرنسي، خاصة في فترة ما بعد الحرب العالمية الثانية وحتى بدايات سبعينيات القرن العشرين. تجلى ذلك بوضوح حينما خصصت مجلة </w:t>
      </w:r>
      <w:r w:rsidRPr="007F5C66">
        <w:rPr>
          <w:rFonts w:asciiTheme="majorBidi" w:eastAsia="Calibri" w:hAnsiTheme="majorBidi" w:cstheme="majorBidi"/>
          <w:i/>
          <w:iCs/>
          <w:sz w:val="24"/>
          <w:szCs w:val="24"/>
        </w:rPr>
        <w:t xml:space="preserve">Les Temps </w:t>
      </w:r>
      <w:proofErr w:type="spellStart"/>
      <w:r w:rsidRPr="007F5C66">
        <w:rPr>
          <w:rFonts w:asciiTheme="majorBidi" w:eastAsia="Calibri" w:hAnsiTheme="majorBidi" w:cstheme="majorBidi"/>
          <w:i/>
          <w:iCs/>
          <w:sz w:val="24"/>
          <w:szCs w:val="24"/>
        </w:rPr>
        <w:t>modernes</w:t>
      </w:r>
      <w:proofErr w:type="spellEnd"/>
      <w:r w:rsidRPr="007F5C66">
        <w:rPr>
          <w:rFonts w:asciiTheme="majorBidi" w:eastAsia="Calibri" w:hAnsiTheme="majorBidi" w:cs="Times New Roman"/>
          <w:i/>
          <w:iCs/>
          <w:sz w:val="24"/>
          <w:szCs w:val="24"/>
          <w:rtl/>
        </w:rPr>
        <w:t xml:space="preserve"> إ</w:t>
      </w:r>
      <w:r w:rsidRPr="007F5C66">
        <w:rPr>
          <w:rFonts w:asciiTheme="majorBidi" w:eastAsia="Calibri" w:hAnsiTheme="majorBidi" w:cs="Times New Roman"/>
          <w:sz w:val="24"/>
          <w:szCs w:val="24"/>
          <w:rtl/>
        </w:rPr>
        <w:t xml:space="preserve">صدارين مزدوجين لمناقشة موضوع </w:t>
      </w:r>
      <w:r w:rsidRPr="007F5C66">
        <w:rPr>
          <w:rFonts w:asciiTheme="majorBidi" w:eastAsia="Calibri" w:hAnsiTheme="majorBidi" w:cs="Times New Roman"/>
          <w:i/>
          <w:iCs/>
          <w:sz w:val="24"/>
          <w:szCs w:val="24"/>
          <w:rtl/>
        </w:rPr>
        <w:t>"الأنثروبولوجيا والإمبريالية"،</w:t>
      </w:r>
      <w:r w:rsidRPr="007F5C66">
        <w:rPr>
          <w:rFonts w:asciiTheme="majorBidi" w:eastAsia="Calibri" w:hAnsiTheme="majorBidi" w:cs="Times New Roman"/>
          <w:sz w:val="24"/>
          <w:szCs w:val="24"/>
          <w:rtl/>
        </w:rPr>
        <w:t xml:space="preserve"> مما يعكس الأهمية المستمرة لهذا النقاش في الأوساط الثقافية والفكرية الفرنسية. بالمقارنة مع السياق الناطق بالإنجليزية، يبرز الحقل الفكري الفرنسي بمستوى من التحليل والنقد يتسم بالعمق والشمولية، بعيدًا عن وجود مثيل له بنفس الزخم والثراء الفكري في العالم الناطق بالإنجليزية.</w:t>
      </w:r>
    </w:p>
    <w:p w14:paraId="41C17FF2" w14:textId="77777777" w:rsidR="00D51387" w:rsidRDefault="00D51387" w:rsidP="00D51387">
      <w:pPr>
        <w:jc w:val="both"/>
        <w:rPr>
          <w:rFonts w:asciiTheme="majorBidi" w:eastAsia="Calibri" w:hAnsiTheme="majorBidi" w:cstheme="majorBidi"/>
          <w:sz w:val="24"/>
          <w:szCs w:val="24"/>
          <w:rtl/>
        </w:rPr>
      </w:pPr>
      <w:r w:rsidRPr="007F5C66">
        <w:rPr>
          <w:rFonts w:asciiTheme="majorBidi" w:eastAsia="Calibri" w:hAnsiTheme="majorBidi" w:cs="Times New Roman"/>
          <w:sz w:val="24"/>
          <w:szCs w:val="24"/>
          <w:rtl/>
        </w:rPr>
        <w:t xml:space="preserve">على الرغم من أن فرانز فانون أصبح لاحقًا أحد الرموز البارزة، لا سيّما في الدراسات الأدبية وفي سياق الدراسات ما بعد </w:t>
      </w:r>
      <w:proofErr w:type="spellStart"/>
      <w:r w:rsidRPr="007F5C66">
        <w:rPr>
          <w:rFonts w:asciiTheme="majorBidi" w:eastAsia="Calibri" w:hAnsiTheme="majorBidi" w:cs="Times New Roman"/>
          <w:sz w:val="24"/>
          <w:szCs w:val="24"/>
          <w:rtl/>
        </w:rPr>
        <w:t>الكولونيالية</w:t>
      </w:r>
      <w:proofErr w:type="spellEnd"/>
      <w:r w:rsidRPr="007F5C66">
        <w:rPr>
          <w:rFonts w:asciiTheme="majorBidi" w:eastAsia="Calibri" w:hAnsiTheme="majorBidi" w:cs="Times New Roman"/>
          <w:sz w:val="24"/>
          <w:szCs w:val="24"/>
          <w:rtl/>
        </w:rPr>
        <w:t xml:space="preserve"> التي استلهمت من إدوارد سعيد، باعتباره من الآباء المؤسسين لهذا المجال، فإن كتابه </w:t>
      </w:r>
      <w:r w:rsidRPr="007F5C66">
        <w:rPr>
          <w:rFonts w:asciiTheme="majorBidi" w:eastAsia="Calibri" w:hAnsiTheme="majorBidi" w:cs="Times New Roman" w:hint="cs"/>
          <w:i/>
          <w:iCs/>
          <w:sz w:val="24"/>
          <w:szCs w:val="24"/>
          <w:rtl/>
        </w:rPr>
        <w:t>"</w:t>
      </w:r>
      <w:r w:rsidRPr="007F5C66">
        <w:rPr>
          <w:rFonts w:asciiTheme="majorBidi" w:eastAsia="Calibri" w:hAnsiTheme="majorBidi" w:cs="Times New Roman"/>
          <w:i/>
          <w:iCs/>
          <w:sz w:val="24"/>
          <w:szCs w:val="24"/>
          <w:rtl/>
        </w:rPr>
        <w:t>معذَّبو الأرض</w:t>
      </w:r>
      <w:r w:rsidRPr="007F5C66">
        <w:rPr>
          <w:rFonts w:asciiTheme="majorBidi" w:eastAsia="Calibri" w:hAnsiTheme="majorBidi" w:cs="Times New Roman" w:hint="cs"/>
          <w:i/>
          <w:iCs/>
          <w:sz w:val="24"/>
          <w:szCs w:val="24"/>
          <w:rtl/>
        </w:rPr>
        <w:t>"</w:t>
      </w:r>
      <w:r w:rsidRPr="007F5C66">
        <w:rPr>
          <w:rFonts w:asciiTheme="majorBidi" w:eastAsia="Calibri" w:hAnsiTheme="majorBidi" w:cs="Times New Roman"/>
          <w:sz w:val="24"/>
          <w:szCs w:val="24"/>
          <w:rtl/>
        </w:rPr>
        <w:t xml:space="preserve"> لم يحظَ بنفس المستوى من الاهتمام مقارنة بتحليلاته النفسية في كتابه </w:t>
      </w:r>
      <w:r w:rsidRPr="007F5C66">
        <w:rPr>
          <w:rFonts w:asciiTheme="majorBidi" w:eastAsia="Calibri" w:hAnsiTheme="majorBidi" w:cs="Times New Roman" w:hint="cs"/>
          <w:i/>
          <w:iCs/>
          <w:sz w:val="24"/>
          <w:szCs w:val="24"/>
          <w:rtl/>
        </w:rPr>
        <w:t>"</w:t>
      </w:r>
      <w:r w:rsidRPr="007F5C66">
        <w:rPr>
          <w:rFonts w:asciiTheme="majorBidi" w:eastAsia="Calibri" w:hAnsiTheme="majorBidi" w:cs="Times New Roman"/>
          <w:i/>
          <w:iCs/>
          <w:sz w:val="24"/>
          <w:szCs w:val="24"/>
          <w:rtl/>
        </w:rPr>
        <w:t>بشرة سوداء، أقنعة بيضاء</w:t>
      </w:r>
      <w:r w:rsidRPr="007F5C66">
        <w:rPr>
          <w:rFonts w:asciiTheme="majorBidi" w:eastAsia="Calibri" w:hAnsiTheme="majorBidi" w:cs="Times New Roman" w:hint="cs"/>
          <w:i/>
          <w:iCs/>
          <w:sz w:val="24"/>
          <w:szCs w:val="24"/>
          <w:rtl/>
        </w:rPr>
        <w:t>"</w:t>
      </w:r>
      <w:r w:rsidRPr="007F5C66">
        <w:rPr>
          <w:rFonts w:asciiTheme="majorBidi" w:eastAsia="Calibri" w:hAnsiTheme="majorBidi" w:cs="Times New Roman"/>
          <w:sz w:val="24"/>
          <w:szCs w:val="24"/>
          <w:rtl/>
        </w:rPr>
        <w:t>. ويُظهر هذا التفاوت في الاهتمام نقلة ملحوظة في التركيز الأكاديمي، من التحليل التاريخي والسياسي إلى التحليل الثقافي والنفسي</w:t>
      </w:r>
      <w:r>
        <w:rPr>
          <w:rFonts w:asciiTheme="majorBidi" w:eastAsia="Calibri" w:hAnsiTheme="majorBidi" w:cstheme="majorBidi" w:hint="cs"/>
          <w:sz w:val="24"/>
          <w:szCs w:val="24"/>
          <w:rtl/>
        </w:rPr>
        <w:t>.</w:t>
      </w:r>
    </w:p>
    <w:p w14:paraId="375635E4" w14:textId="77777777" w:rsidR="00D51387" w:rsidRDefault="00D51387" w:rsidP="00D51387">
      <w:pPr>
        <w:jc w:val="both"/>
        <w:rPr>
          <w:rFonts w:asciiTheme="majorBidi" w:eastAsia="Calibri" w:hAnsiTheme="majorBidi" w:cstheme="majorBidi"/>
          <w:sz w:val="24"/>
          <w:szCs w:val="24"/>
          <w:rtl/>
        </w:rPr>
      </w:pPr>
      <w:r w:rsidRPr="00C43887">
        <w:rPr>
          <w:rFonts w:asciiTheme="majorBidi" w:eastAsia="Calibri" w:hAnsiTheme="majorBidi" w:cs="Times New Roman"/>
          <w:sz w:val="24"/>
          <w:szCs w:val="24"/>
          <w:rtl/>
        </w:rPr>
        <w:t xml:space="preserve">يمكن إبراز الجانب السياسي المتعلق بنقد المعرفة الاستعمارية في السياق الفرنسي من خلال الاعتراف بالدور الحيوي الذي لعبه الإرث المعقد للمقاومة ضد الاحتلال النازي. فقد ساهم هذا الإرث في إضفاء شرعية سياسية على الكفاح ضد الهيمنة الأجنبية، مقدماً مصطلحات سياسية جاهزة مثل "المقاومين" و"المتعاونين"، والتي أصبحت أدوات تفسيرية لفهم أيديولوجيا القومية المناهضة للاستعمار. يتجلى تداخل هذا الإرث مع القضية الاستعمارية في نشر كتاب هنري </w:t>
      </w:r>
      <w:proofErr w:type="spellStart"/>
      <w:r w:rsidRPr="00C43887">
        <w:rPr>
          <w:rFonts w:asciiTheme="majorBidi" w:eastAsia="Calibri" w:hAnsiTheme="majorBidi" w:cs="Times New Roman"/>
          <w:sz w:val="24"/>
          <w:szCs w:val="24"/>
          <w:rtl/>
        </w:rPr>
        <w:t>أليغ</w:t>
      </w:r>
      <w:proofErr w:type="spellEnd"/>
      <w:r w:rsidRPr="00C43887">
        <w:rPr>
          <w:rFonts w:asciiTheme="majorBidi" w:eastAsia="Calibri" w:hAnsiTheme="majorBidi" w:cs="Times New Roman"/>
          <w:sz w:val="24"/>
          <w:szCs w:val="24"/>
          <w:rtl/>
        </w:rPr>
        <w:t xml:space="preserve"> "السؤال"، الذي استنكر بشكل مباشر الممارسات المنهجية للتعذيب في الجزائر. تميز هذا الكتاب بطرحه من قبل دار نشر ذات صلة تاريخية بالمقاومة السرية، مما ساهم في تعزيز مستوى المعارضة الشعبية للحرب في الداخل الفرنسي، مؤكداً بذلك الصلة الوثيقة بين تجارب المقاومة السابقة والتحديات المناهضة للاستعمار.</w:t>
      </w:r>
    </w:p>
    <w:p w14:paraId="015E308B" w14:textId="77777777" w:rsidR="00D51387" w:rsidRDefault="00D51387" w:rsidP="00D51387">
      <w:pPr>
        <w:jc w:val="both"/>
        <w:rPr>
          <w:rFonts w:asciiTheme="majorBidi" w:eastAsia="Calibri" w:hAnsiTheme="majorBidi" w:cstheme="majorBidi"/>
          <w:sz w:val="24"/>
          <w:szCs w:val="24"/>
          <w:rtl/>
        </w:rPr>
      </w:pPr>
      <w:r w:rsidRPr="00C43887">
        <w:rPr>
          <w:rFonts w:asciiTheme="majorBidi" w:eastAsia="Calibri" w:hAnsiTheme="majorBidi" w:cs="Times New Roman"/>
          <w:sz w:val="24"/>
          <w:szCs w:val="24"/>
          <w:rtl/>
        </w:rPr>
        <w:t>باختصار، ساهمت عوامل متعددة مثل عدم الاستقرار السياسي للجمهورية الرابعة، وأجواء الحرب الباردة، والدعم السوفييتي لحركات التحرر في العالم الثالث، بالإضافة إلى الوضع القانوني الفريد للجزائر كجزء من فرنسا، في تعزيز الشعور خاصة لدى اليمين بأن مصير فرنسا ذاته كان مهدداً. ويُعتبر هذا السياق السياسي عاملاً رئيسياً لفهم السبب وراء تجاوز النقد الفرنسي للمعرفة الاستعمارية الحدود التي بلغها في كل من بريطانيا والولايات المتحدة.</w:t>
      </w:r>
    </w:p>
    <w:p w14:paraId="01C0D2D7" w14:textId="5152E243" w:rsidR="00D51387" w:rsidRDefault="00D51387" w:rsidP="00D51387">
      <w:pPr>
        <w:jc w:val="both"/>
        <w:rPr>
          <w:rFonts w:asciiTheme="majorBidi" w:eastAsia="Calibri" w:hAnsiTheme="majorBidi" w:cstheme="majorBidi"/>
          <w:sz w:val="24"/>
          <w:szCs w:val="24"/>
          <w:rtl/>
        </w:rPr>
      </w:pPr>
    </w:p>
    <w:p w14:paraId="73BEFA5B" w14:textId="009762FC" w:rsidR="00D51387" w:rsidRDefault="00D51387" w:rsidP="00D51387">
      <w:pPr>
        <w:jc w:val="both"/>
        <w:rPr>
          <w:rFonts w:asciiTheme="majorBidi" w:eastAsia="Calibri" w:hAnsiTheme="majorBidi" w:cstheme="majorBidi"/>
          <w:sz w:val="24"/>
          <w:szCs w:val="24"/>
          <w:rtl/>
        </w:rPr>
      </w:pPr>
    </w:p>
    <w:p w14:paraId="4ABCFCA4" w14:textId="4F350807" w:rsidR="00D51387" w:rsidRDefault="00D51387" w:rsidP="00D51387">
      <w:pPr>
        <w:jc w:val="both"/>
        <w:rPr>
          <w:rFonts w:asciiTheme="majorBidi" w:eastAsia="Calibri" w:hAnsiTheme="majorBidi" w:cstheme="majorBidi"/>
          <w:sz w:val="24"/>
          <w:szCs w:val="24"/>
          <w:rtl/>
        </w:rPr>
      </w:pPr>
    </w:p>
    <w:p w14:paraId="4081E1CA" w14:textId="51BFD5C7" w:rsidR="00D51387" w:rsidRDefault="00D51387" w:rsidP="00D51387">
      <w:pPr>
        <w:jc w:val="both"/>
        <w:rPr>
          <w:rFonts w:asciiTheme="majorBidi" w:eastAsia="Calibri" w:hAnsiTheme="majorBidi" w:cstheme="majorBidi"/>
          <w:sz w:val="24"/>
          <w:szCs w:val="24"/>
          <w:rtl/>
        </w:rPr>
      </w:pPr>
    </w:p>
    <w:p w14:paraId="47791380" w14:textId="0AEDF809" w:rsidR="00D51387" w:rsidRDefault="00D51387" w:rsidP="00D51387">
      <w:pPr>
        <w:jc w:val="both"/>
        <w:rPr>
          <w:rFonts w:asciiTheme="majorBidi" w:eastAsia="Calibri" w:hAnsiTheme="majorBidi" w:cstheme="majorBidi"/>
          <w:sz w:val="24"/>
          <w:szCs w:val="24"/>
          <w:rtl/>
        </w:rPr>
      </w:pPr>
    </w:p>
    <w:p w14:paraId="66511F46" w14:textId="5129AE80" w:rsidR="00D51387" w:rsidRDefault="00D51387" w:rsidP="00D51387">
      <w:pPr>
        <w:jc w:val="both"/>
        <w:rPr>
          <w:rFonts w:asciiTheme="majorBidi" w:eastAsia="Calibri" w:hAnsiTheme="majorBidi" w:cstheme="majorBidi"/>
          <w:sz w:val="24"/>
          <w:szCs w:val="24"/>
          <w:rtl/>
        </w:rPr>
      </w:pPr>
    </w:p>
    <w:p w14:paraId="471837D2" w14:textId="07224C88" w:rsidR="00D51387" w:rsidRDefault="00D51387" w:rsidP="00D51387">
      <w:pPr>
        <w:jc w:val="both"/>
        <w:rPr>
          <w:rFonts w:asciiTheme="majorBidi" w:eastAsia="Calibri" w:hAnsiTheme="majorBidi" w:cstheme="majorBidi"/>
          <w:sz w:val="24"/>
          <w:szCs w:val="24"/>
          <w:rtl/>
        </w:rPr>
      </w:pPr>
    </w:p>
    <w:p w14:paraId="49DEBDB2" w14:textId="012029AA" w:rsidR="00D51387" w:rsidRDefault="00D51387" w:rsidP="00D51387">
      <w:pPr>
        <w:jc w:val="both"/>
        <w:rPr>
          <w:rFonts w:asciiTheme="majorBidi" w:eastAsia="Calibri" w:hAnsiTheme="majorBidi" w:cstheme="majorBidi"/>
          <w:sz w:val="24"/>
          <w:szCs w:val="24"/>
          <w:rtl/>
        </w:rPr>
      </w:pPr>
    </w:p>
    <w:p w14:paraId="49EB039F" w14:textId="57F6D2B0" w:rsidR="00D51387" w:rsidRDefault="00D51387" w:rsidP="00D51387">
      <w:pPr>
        <w:jc w:val="both"/>
        <w:rPr>
          <w:rFonts w:asciiTheme="majorBidi" w:eastAsia="Calibri" w:hAnsiTheme="majorBidi" w:cstheme="majorBidi"/>
          <w:sz w:val="24"/>
          <w:szCs w:val="24"/>
          <w:rtl/>
        </w:rPr>
      </w:pPr>
    </w:p>
    <w:p w14:paraId="32FD8CC5" w14:textId="440E2B72" w:rsidR="00D51387" w:rsidRDefault="00D51387" w:rsidP="00D51387">
      <w:pPr>
        <w:jc w:val="both"/>
        <w:rPr>
          <w:rFonts w:asciiTheme="majorBidi" w:eastAsia="Calibri" w:hAnsiTheme="majorBidi" w:cstheme="majorBidi"/>
          <w:sz w:val="24"/>
          <w:szCs w:val="24"/>
          <w:rtl/>
        </w:rPr>
      </w:pPr>
    </w:p>
    <w:p w14:paraId="6EA591FF" w14:textId="60DEDED1" w:rsidR="00D51387" w:rsidRDefault="00D51387" w:rsidP="00D51387">
      <w:pPr>
        <w:jc w:val="both"/>
        <w:rPr>
          <w:rFonts w:asciiTheme="majorBidi" w:eastAsia="Calibri" w:hAnsiTheme="majorBidi" w:cstheme="majorBidi"/>
          <w:sz w:val="24"/>
          <w:szCs w:val="24"/>
          <w:rtl/>
        </w:rPr>
      </w:pPr>
    </w:p>
    <w:p w14:paraId="6116E971" w14:textId="47067502" w:rsidR="00D51387" w:rsidRDefault="00D51387" w:rsidP="00D51387">
      <w:pPr>
        <w:jc w:val="both"/>
        <w:rPr>
          <w:rFonts w:asciiTheme="majorBidi" w:eastAsia="Calibri" w:hAnsiTheme="majorBidi" w:cstheme="majorBidi"/>
          <w:sz w:val="24"/>
          <w:szCs w:val="24"/>
          <w:rtl/>
        </w:rPr>
      </w:pPr>
    </w:p>
    <w:p w14:paraId="5DC3A936" w14:textId="363F7481" w:rsidR="00D51387" w:rsidRDefault="00D51387" w:rsidP="00D51387">
      <w:pPr>
        <w:jc w:val="both"/>
        <w:rPr>
          <w:rFonts w:asciiTheme="majorBidi" w:eastAsia="Calibri" w:hAnsiTheme="majorBidi" w:cstheme="majorBidi"/>
          <w:sz w:val="24"/>
          <w:szCs w:val="24"/>
          <w:rtl/>
        </w:rPr>
      </w:pPr>
    </w:p>
    <w:p w14:paraId="3B654451" w14:textId="36FAADE5" w:rsidR="00D51387" w:rsidRDefault="00D51387" w:rsidP="00D51387">
      <w:pPr>
        <w:jc w:val="both"/>
        <w:rPr>
          <w:rFonts w:asciiTheme="majorBidi" w:eastAsia="Calibri" w:hAnsiTheme="majorBidi" w:cstheme="majorBidi"/>
          <w:sz w:val="24"/>
          <w:szCs w:val="24"/>
          <w:rtl/>
        </w:rPr>
      </w:pPr>
    </w:p>
    <w:p w14:paraId="49EDF532" w14:textId="48E4522F" w:rsidR="00D51387" w:rsidRDefault="00D51387" w:rsidP="00D51387">
      <w:pPr>
        <w:jc w:val="both"/>
        <w:rPr>
          <w:rFonts w:asciiTheme="majorBidi" w:eastAsia="Calibri" w:hAnsiTheme="majorBidi" w:cstheme="majorBidi"/>
          <w:sz w:val="24"/>
          <w:szCs w:val="24"/>
          <w:rtl/>
        </w:rPr>
      </w:pPr>
    </w:p>
    <w:p w14:paraId="7A31B8CD" w14:textId="608B879B" w:rsidR="00D51387" w:rsidRDefault="00D51387" w:rsidP="00D51387">
      <w:pPr>
        <w:jc w:val="both"/>
        <w:rPr>
          <w:rFonts w:asciiTheme="majorBidi" w:eastAsia="Calibri" w:hAnsiTheme="majorBidi" w:cstheme="majorBidi"/>
          <w:sz w:val="24"/>
          <w:szCs w:val="24"/>
          <w:rtl/>
        </w:rPr>
      </w:pPr>
    </w:p>
    <w:p w14:paraId="63DE3E51" w14:textId="600990AD" w:rsidR="00D51387" w:rsidRDefault="00D51387" w:rsidP="00D51387">
      <w:pPr>
        <w:jc w:val="both"/>
        <w:rPr>
          <w:rFonts w:asciiTheme="majorBidi" w:eastAsia="Calibri" w:hAnsiTheme="majorBidi" w:cstheme="majorBidi"/>
          <w:sz w:val="24"/>
          <w:szCs w:val="24"/>
          <w:rtl/>
        </w:rPr>
      </w:pPr>
    </w:p>
    <w:p w14:paraId="6A002239" w14:textId="222DDBB2" w:rsidR="00D51387" w:rsidRDefault="00D51387" w:rsidP="00D51387">
      <w:pPr>
        <w:jc w:val="both"/>
        <w:rPr>
          <w:rFonts w:asciiTheme="majorBidi" w:eastAsia="Calibri" w:hAnsiTheme="majorBidi" w:cstheme="majorBidi"/>
          <w:sz w:val="24"/>
          <w:szCs w:val="24"/>
          <w:rtl/>
        </w:rPr>
      </w:pPr>
    </w:p>
    <w:p w14:paraId="54520039" w14:textId="68DF6C43" w:rsidR="00D51387" w:rsidRDefault="00D51387" w:rsidP="00D51387">
      <w:pPr>
        <w:jc w:val="both"/>
        <w:rPr>
          <w:rFonts w:asciiTheme="majorBidi" w:eastAsia="Calibri" w:hAnsiTheme="majorBidi" w:cstheme="majorBidi"/>
          <w:sz w:val="24"/>
          <w:szCs w:val="24"/>
          <w:rtl/>
        </w:rPr>
      </w:pPr>
    </w:p>
    <w:p w14:paraId="5E493336" w14:textId="393E7589" w:rsidR="00D51387" w:rsidRDefault="00D51387" w:rsidP="00D51387">
      <w:pPr>
        <w:jc w:val="both"/>
        <w:rPr>
          <w:rFonts w:asciiTheme="majorBidi" w:eastAsia="Calibri" w:hAnsiTheme="majorBidi" w:cstheme="majorBidi"/>
          <w:sz w:val="24"/>
          <w:szCs w:val="24"/>
          <w:rtl/>
        </w:rPr>
      </w:pPr>
    </w:p>
    <w:p w14:paraId="499933F8" w14:textId="77777777" w:rsidR="00D51387" w:rsidRPr="00897D02" w:rsidRDefault="00D51387" w:rsidP="00D51387">
      <w:pPr>
        <w:jc w:val="both"/>
        <w:rPr>
          <w:rFonts w:asciiTheme="majorBidi" w:eastAsia="Calibri" w:hAnsiTheme="majorBidi" w:cstheme="majorBidi"/>
          <w:b/>
          <w:bCs/>
          <w:sz w:val="28"/>
          <w:szCs w:val="28"/>
          <w:rtl/>
        </w:rPr>
      </w:pPr>
      <w:r w:rsidRPr="00897D02">
        <w:rPr>
          <w:rFonts w:asciiTheme="majorBidi" w:eastAsia="Calibri" w:hAnsiTheme="majorBidi" w:cs="Times New Roman"/>
          <w:b/>
          <w:bCs/>
          <w:sz w:val="28"/>
          <w:szCs w:val="28"/>
          <w:rtl/>
        </w:rPr>
        <w:t xml:space="preserve">من ديكارت إلى فوكو: الأطر الفلسفية </w:t>
      </w:r>
      <w:proofErr w:type="spellStart"/>
      <w:r w:rsidRPr="00897D02">
        <w:rPr>
          <w:rFonts w:asciiTheme="majorBidi" w:eastAsia="Calibri" w:hAnsiTheme="majorBidi" w:cs="Times New Roman"/>
          <w:b/>
          <w:bCs/>
          <w:sz w:val="28"/>
          <w:szCs w:val="28"/>
          <w:rtl/>
        </w:rPr>
        <w:t>والأنثروبولوجية</w:t>
      </w:r>
      <w:proofErr w:type="spellEnd"/>
      <w:r w:rsidRPr="00897D02">
        <w:rPr>
          <w:rFonts w:asciiTheme="majorBidi" w:eastAsia="Calibri" w:hAnsiTheme="majorBidi" w:cs="Times New Roman"/>
          <w:b/>
          <w:bCs/>
          <w:sz w:val="28"/>
          <w:szCs w:val="28"/>
          <w:rtl/>
        </w:rPr>
        <w:t xml:space="preserve"> في مواجهة الاستعمار الفرنسي</w:t>
      </w:r>
    </w:p>
    <w:p w14:paraId="2C2FD739" w14:textId="797D3BE3" w:rsidR="00D51387" w:rsidRDefault="00D51387" w:rsidP="00D51387">
      <w:pPr>
        <w:jc w:val="both"/>
        <w:rPr>
          <w:rFonts w:asciiTheme="majorBidi" w:eastAsia="Calibri" w:hAnsiTheme="majorBidi" w:cstheme="majorBidi"/>
          <w:sz w:val="24"/>
          <w:szCs w:val="24"/>
          <w:rtl/>
        </w:rPr>
      </w:pPr>
    </w:p>
    <w:p w14:paraId="35AFE411" w14:textId="77777777" w:rsidR="00D51387" w:rsidRDefault="00D51387" w:rsidP="00D51387">
      <w:pPr>
        <w:jc w:val="both"/>
        <w:rPr>
          <w:rFonts w:asciiTheme="majorBidi" w:eastAsia="Calibri" w:hAnsiTheme="majorBidi" w:cstheme="majorBidi"/>
          <w:sz w:val="24"/>
          <w:szCs w:val="24"/>
          <w:rtl/>
        </w:rPr>
      </w:pPr>
      <w:r w:rsidRPr="00897D02">
        <w:rPr>
          <w:rFonts w:asciiTheme="majorBidi" w:eastAsia="Calibri" w:hAnsiTheme="majorBidi" w:cs="Times New Roman"/>
          <w:sz w:val="24"/>
          <w:szCs w:val="24"/>
          <w:rtl/>
        </w:rPr>
        <w:t>عند الانتقال إلى المجال الفكري، يبرز أنه رغم هيمنة الماركسية المناهضة للإمبريالية كتيار فكري رئيسي</w:t>
      </w:r>
      <w:r>
        <w:rPr>
          <w:rFonts w:asciiTheme="majorBidi" w:eastAsia="Calibri" w:hAnsiTheme="majorBidi" w:cs="Times New Roman" w:hint="cs"/>
          <w:sz w:val="24"/>
          <w:szCs w:val="24"/>
          <w:rtl/>
        </w:rPr>
        <w:t xml:space="preserve"> (</w:t>
      </w:r>
      <w:r w:rsidRPr="00897D02">
        <w:rPr>
          <w:rFonts w:asciiTheme="majorBidi" w:eastAsia="Calibri" w:hAnsiTheme="majorBidi" w:cs="Times New Roman"/>
          <w:sz w:val="24"/>
          <w:szCs w:val="24"/>
          <w:rtl/>
        </w:rPr>
        <w:t>كما كان الحال في بريطانيا والولايات المتحدة</w:t>
      </w:r>
      <w:r>
        <w:rPr>
          <w:rFonts w:asciiTheme="majorBidi" w:eastAsia="Calibri" w:hAnsiTheme="majorBidi" w:cs="Times New Roman" w:hint="cs"/>
          <w:sz w:val="24"/>
          <w:szCs w:val="24"/>
          <w:rtl/>
        </w:rPr>
        <w:t xml:space="preserve">) </w:t>
      </w:r>
      <w:r w:rsidRPr="00897D02">
        <w:rPr>
          <w:rFonts w:asciiTheme="majorBidi" w:eastAsia="Calibri" w:hAnsiTheme="majorBidi" w:cs="Times New Roman"/>
          <w:sz w:val="24"/>
          <w:szCs w:val="24"/>
          <w:rtl/>
        </w:rPr>
        <w:t xml:space="preserve">فإن السياق الفرنسي قد أضاف عناصر مميزة لعبت دورًا كبيرًا. فقد تطور الفكر الفرنسي بعد الحرب العالمية الثانية ضمن إطار من الجدل الفلسفي العميق الذي تناول العقلانية الديكارتية، وامتد إلى التشكيك في مركزية حاسة البصر والاهتمام بالموقع الأخلاقي للآخر. من خلال زوايا متعددة، توحدت رؤى فلاسفة مثل سارتر، </w:t>
      </w:r>
      <w:proofErr w:type="spellStart"/>
      <w:r w:rsidRPr="00897D02">
        <w:rPr>
          <w:rFonts w:asciiTheme="majorBidi" w:eastAsia="Calibri" w:hAnsiTheme="majorBidi" w:cs="Times New Roman"/>
          <w:sz w:val="24"/>
          <w:szCs w:val="24"/>
          <w:rtl/>
        </w:rPr>
        <w:t>وميرلو</w:t>
      </w:r>
      <w:proofErr w:type="spellEnd"/>
      <w:r w:rsidRPr="00897D02">
        <w:rPr>
          <w:rFonts w:asciiTheme="majorBidi" w:eastAsia="Calibri" w:hAnsiTheme="majorBidi" w:cs="Times New Roman"/>
          <w:sz w:val="24"/>
          <w:szCs w:val="24"/>
          <w:rtl/>
        </w:rPr>
        <w:t xml:space="preserve">-بونتي، وإيمانويل </w:t>
      </w:r>
      <w:proofErr w:type="spellStart"/>
      <w:r w:rsidRPr="00897D02">
        <w:rPr>
          <w:rFonts w:asciiTheme="majorBidi" w:eastAsia="Calibri" w:hAnsiTheme="majorBidi" w:cs="Times New Roman"/>
          <w:sz w:val="24"/>
          <w:szCs w:val="24"/>
          <w:rtl/>
        </w:rPr>
        <w:t>ليفيناس</w:t>
      </w:r>
      <w:proofErr w:type="spellEnd"/>
      <w:r w:rsidRPr="00897D02">
        <w:rPr>
          <w:rFonts w:asciiTheme="majorBidi" w:eastAsia="Calibri" w:hAnsiTheme="majorBidi" w:cs="Times New Roman"/>
          <w:sz w:val="24"/>
          <w:szCs w:val="24"/>
          <w:rtl/>
        </w:rPr>
        <w:t xml:space="preserve">، وفلاديمير </w:t>
      </w:r>
      <w:proofErr w:type="spellStart"/>
      <w:r w:rsidRPr="00897D02">
        <w:rPr>
          <w:rFonts w:asciiTheme="majorBidi" w:eastAsia="Calibri" w:hAnsiTheme="majorBidi" w:cs="Times New Roman"/>
          <w:sz w:val="24"/>
          <w:szCs w:val="24"/>
          <w:rtl/>
        </w:rPr>
        <w:t>جانكيليفيتش</w:t>
      </w:r>
      <w:proofErr w:type="spellEnd"/>
      <w:r w:rsidRPr="00897D02">
        <w:rPr>
          <w:rFonts w:asciiTheme="majorBidi" w:eastAsia="Calibri" w:hAnsiTheme="majorBidi" w:cs="Times New Roman"/>
          <w:sz w:val="24"/>
          <w:szCs w:val="24"/>
          <w:rtl/>
        </w:rPr>
        <w:t xml:space="preserve">، إضافة إلى </w:t>
      </w:r>
      <w:proofErr w:type="spellStart"/>
      <w:r w:rsidRPr="00897D02">
        <w:rPr>
          <w:rFonts w:asciiTheme="majorBidi" w:eastAsia="Calibri" w:hAnsiTheme="majorBidi" w:cs="Times New Roman"/>
          <w:sz w:val="24"/>
          <w:szCs w:val="24"/>
          <w:rtl/>
        </w:rPr>
        <w:t>أنثروبولوجيين</w:t>
      </w:r>
      <w:proofErr w:type="spellEnd"/>
      <w:r w:rsidRPr="00897D02">
        <w:rPr>
          <w:rFonts w:asciiTheme="majorBidi" w:eastAsia="Calibri" w:hAnsiTheme="majorBidi" w:cs="Times New Roman"/>
          <w:sz w:val="24"/>
          <w:szCs w:val="24"/>
          <w:rtl/>
        </w:rPr>
        <w:t xml:space="preserve"> مثل كلود ليفي-ستروس. ومن هذه التفاعلات الفكرية الغنية نشأت لاحقًا مدارس فكرية مثل البنيوية، ما بعد البنيوية، والنظرية النقدية.</w:t>
      </w:r>
    </w:p>
    <w:p w14:paraId="37CD40FC" w14:textId="77777777" w:rsidR="00D51387" w:rsidRDefault="00D51387" w:rsidP="00D51387">
      <w:pPr>
        <w:jc w:val="both"/>
        <w:rPr>
          <w:rFonts w:asciiTheme="majorBidi" w:eastAsia="Calibri" w:hAnsiTheme="majorBidi" w:cstheme="majorBidi"/>
          <w:sz w:val="24"/>
          <w:szCs w:val="24"/>
          <w:rtl/>
        </w:rPr>
      </w:pPr>
      <w:r w:rsidRPr="00210033">
        <w:rPr>
          <w:rFonts w:asciiTheme="majorBidi" w:eastAsia="Calibri" w:hAnsiTheme="majorBidi" w:cs="Times New Roman"/>
          <w:sz w:val="24"/>
          <w:szCs w:val="24"/>
          <w:rtl/>
        </w:rPr>
        <w:t>رغم أن انخراط سارتر العلني إلى جانب القوميين المناهضين للاستعمار كان له الدور الأبرز في تعزيز شرعية دعم استقلال الجزائر داخل فرنسا وخارجها، إلا أن هناك مفكرين آخرين لعبوا أدوارًا مهمة أيضًا. ومن المثير للاهتمام أن الأعمال الأولى لميشيل فوكو ظهرت في أوائل ستينيات القرن العشرين، إلا أن ارتباطها بنقد أشكال المعرفة الاستعمارية لم يكن واضحًا في ذلك الوقت أو محط اهتمام كبير.</w:t>
      </w:r>
    </w:p>
    <w:p w14:paraId="5842D119" w14:textId="77777777" w:rsidR="00D51387" w:rsidRDefault="00D51387" w:rsidP="00D51387">
      <w:pPr>
        <w:jc w:val="both"/>
        <w:rPr>
          <w:rFonts w:asciiTheme="majorBidi" w:eastAsia="Calibri" w:hAnsiTheme="majorBidi" w:cstheme="majorBidi"/>
          <w:sz w:val="24"/>
          <w:szCs w:val="24"/>
          <w:rtl/>
        </w:rPr>
      </w:pPr>
      <w:r w:rsidRPr="00210033">
        <w:rPr>
          <w:rFonts w:asciiTheme="majorBidi" w:eastAsia="Calibri" w:hAnsiTheme="majorBidi" w:cs="Times New Roman"/>
          <w:sz w:val="24"/>
          <w:szCs w:val="24"/>
          <w:rtl/>
        </w:rPr>
        <w:t xml:space="preserve">في منتصف سبعينيات القرن العشرين، بلغ النقاش حول مشكلات التمثيل ذروته، ويتجلى ذلك بوضوح في الكتاب المميز </w:t>
      </w:r>
      <w:r w:rsidRPr="00210033">
        <w:rPr>
          <w:rFonts w:asciiTheme="majorBidi" w:eastAsia="Calibri" w:hAnsiTheme="majorBidi" w:cs="Times New Roman"/>
          <w:i/>
          <w:iCs/>
          <w:sz w:val="24"/>
          <w:szCs w:val="24"/>
          <w:rtl/>
        </w:rPr>
        <w:t>"صعوبة الرؤية" (</w:t>
      </w:r>
      <w:r w:rsidRPr="00210033">
        <w:rPr>
          <w:rFonts w:asciiTheme="majorBidi" w:eastAsia="Calibri" w:hAnsiTheme="majorBidi" w:cstheme="majorBidi"/>
          <w:i/>
          <w:iCs/>
          <w:sz w:val="24"/>
          <w:szCs w:val="24"/>
        </w:rPr>
        <w:t xml:space="preserve">Le Mal de </w:t>
      </w:r>
      <w:proofErr w:type="spellStart"/>
      <w:r w:rsidRPr="00210033">
        <w:rPr>
          <w:rFonts w:asciiTheme="majorBidi" w:eastAsia="Calibri" w:hAnsiTheme="majorBidi" w:cstheme="majorBidi"/>
          <w:i/>
          <w:iCs/>
          <w:sz w:val="24"/>
          <w:szCs w:val="24"/>
        </w:rPr>
        <w:t>Voir</w:t>
      </w:r>
      <w:proofErr w:type="spellEnd"/>
      <w:r w:rsidRPr="00210033">
        <w:rPr>
          <w:rFonts w:asciiTheme="majorBidi" w:eastAsia="Calibri" w:hAnsiTheme="majorBidi" w:cs="Times New Roman"/>
          <w:sz w:val="24"/>
          <w:szCs w:val="24"/>
          <w:rtl/>
        </w:rPr>
        <w:t xml:space="preserve">)، الذي كان ثمرة لمؤتمر عُقد عام 1974 تحت إشراف الباحث </w:t>
      </w:r>
      <w:proofErr w:type="spellStart"/>
      <w:r w:rsidRPr="00210033">
        <w:rPr>
          <w:rFonts w:asciiTheme="majorBidi" w:eastAsia="Calibri" w:hAnsiTheme="majorBidi" w:cs="Times New Roman"/>
          <w:sz w:val="24"/>
          <w:szCs w:val="24"/>
          <w:rtl/>
        </w:rPr>
        <w:t>الإفريقياتي</w:t>
      </w:r>
      <w:proofErr w:type="spellEnd"/>
      <w:r w:rsidRPr="00210033">
        <w:rPr>
          <w:rFonts w:asciiTheme="majorBidi" w:eastAsia="Calibri" w:hAnsiTheme="majorBidi" w:cs="Times New Roman"/>
          <w:sz w:val="24"/>
          <w:szCs w:val="24"/>
          <w:rtl/>
        </w:rPr>
        <w:t xml:space="preserve"> هنري </w:t>
      </w:r>
      <w:proofErr w:type="spellStart"/>
      <w:r w:rsidRPr="00210033">
        <w:rPr>
          <w:rFonts w:asciiTheme="majorBidi" w:eastAsia="Calibri" w:hAnsiTheme="majorBidi" w:cs="Times New Roman"/>
          <w:sz w:val="24"/>
          <w:szCs w:val="24"/>
          <w:rtl/>
        </w:rPr>
        <w:t>مونيو</w:t>
      </w:r>
      <w:proofErr w:type="spellEnd"/>
      <w:r w:rsidRPr="00210033">
        <w:rPr>
          <w:rFonts w:asciiTheme="majorBidi" w:eastAsia="Calibri" w:hAnsiTheme="majorBidi" w:cs="Times New Roman"/>
          <w:sz w:val="24"/>
          <w:szCs w:val="24"/>
          <w:rtl/>
        </w:rPr>
        <w:t xml:space="preserve">. شارك في هذا المؤتمر نخبة من جيل الباحثين الشباب من تخصصات ومناطق متنوعة، شملت إفريقيا وآسيا </w:t>
      </w:r>
      <w:proofErr w:type="spellStart"/>
      <w:r w:rsidRPr="00210033">
        <w:rPr>
          <w:rFonts w:asciiTheme="majorBidi" w:eastAsia="Calibri" w:hAnsiTheme="majorBidi" w:cs="Times New Roman"/>
          <w:sz w:val="24"/>
          <w:szCs w:val="24"/>
          <w:rtl/>
        </w:rPr>
        <w:t>والأمريكتين</w:t>
      </w:r>
      <w:proofErr w:type="spellEnd"/>
      <w:r w:rsidRPr="00210033">
        <w:rPr>
          <w:rFonts w:asciiTheme="majorBidi" w:eastAsia="Calibri" w:hAnsiTheme="majorBidi" w:cs="Times New Roman"/>
          <w:sz w:val="24"/>
          <w:szCs w:val="24"/>
          <w:rtl/>
        </w:rPr>
        <w:t xml:space="preserve"> والعالم العربي. بالإضافة إلى ذلك، شهد اللقاء حضور عدد من المثقفين المناهضين للاستعمار من جيل أقدم، مثل شخصيات بارزة كجان </w:t>
      </w:r>
      <w:proofErr w:type="spellStart"/>
      <w:r w:rsidRPr="00210033">
        <w:rPr>
          <w:rFonts w:asciiTheme="majorBidi" w:eastAsia="Calibri" w:hAnsiTheme="majorBidi" w:cs="Times New Roman"/>
          <w:sz w:val="24"/>
          <w:szCs w:val="24"/>
          <w:rtl/>
        </w:rPr>
        <w:t>شيسنو</w:t>
      </w:r>
      <w:proofErr w:type="spellEnd"/>
      <w:r w:rsidRPr="00210033">
        <w:rPr>
          <w:rFonts w:asciiTheme="majorBidi" w:eastAsia="Calibri" w:hAnsiTheme="majorBidi" w:cs="Times New Roman"/>
          <w:sz w:val="24"/>
          <w:szCs w:val="24"/>
          <w:rtl/>
        </w:rPr>
        <w:t xml:space="preserve"> وماكسيم </w:t>
      </w:r>
      <w:proofErr w:type="spellStart"/>
      <w:r w:rsidRPr="00210033">
        <w:rPr>
          <w:rFonts w:asciiTheme="majorBidi" w:eastAsia="Calibri" w:hAnsiTheme="majorBidi" w:cs="Times New Roman"/>
          <w:sz w:val="24"/>
          <w:szCs w:val="24"/>
          <w:rtl/>
        </w:rPr>
        <w:t>رودنسون</w:t>
      </w:r>
      <w:proofErr w:type="spellEnd"/>
      <w:r w:rsidRPr="00210033">
        <w:rPr>
          <w:rFonts w:asciiTheme="majorBidi" w:eastAsia="Calibri" w:hAnsiTheme="majorBidi" w:cs="Times New Roman"/>
          <w:sz w:val="24"/>
          <w:szCs w:val="24"/>
          <w:rtl/>
        </w:rPr>
        <w:t>. يعكس الكتاب عمق انخراط المشاركين في معالجة القضايا المتعلقة بالتمثيل، ويسلط الضوء على الأهمية الحاسمة لتوثيق تاريخ إنتاج المعرفة في سياقها الاستعماري.</w:t>
      </w:r>
    </w:p>
    <w:p w14:paraId="165C85D9" w14:textId="77777777" w:rsidR="00D51387" w:rsidRDefault="00D51387" w:rsidP="00D51387">
      <w:pPr>
        <w:jc w:val="both"/>
        <w:rPr>
          <w:rFonts w:asciiTheme="majorBidi" w:eastAsia="Calibri" w:hAnsiTheme="majorBidi" w:cstheme="majorBidi"/>
          <w:sz w:val="24"/>
          <w:szCs w:val="24"/>
          <w:rtl/>
        </w:rPr>
      </w:pPr>
      <w:r w:rsidRPr="00102EB9">
        <w:rPr>
          <w:rFonts w:asciiTheme="majorBidi" w:eastAsia="Calibri" w:hAnsiTheme="majorBidi" w:cs="Times New Roman"/>
          <w:sz w:val="24"/>
          <w:szCs w:val="24"/>
          <w:rtl/>
        </w:rPr>
        <w:t xml:space="preserve">تُظهر هذه الدراسة الفكرية تأثير بيير بورديو الذي تُعتبر مساهماته نموذجًا راسخًا لبلوغ المنهج </w:t>
      </w:r>
      <w:proofErr w:type="spellStart"/>
      <w:r w:rsidRPr="00102EB9">
        <w:rPr>
          <w:rFonts w:asciiTheme="majorBidi" w:eastAsia="Calibri" w:hAnsiTheme="majorBidi" w:cs="Times New Roman"/>
          <w:sz w:val="24"/>
          <w:szCs w:val="24"/>
          <w:rtl/>
        </w:rPr>
        <w:t>السوسيولوجي</w:t>
      </w:r>
      <w:proofErr w:type="spellEnd"/>
      <w:r w:rsidRPr="00102EB9">
        <w:rPr>
          <w:rFonts w:asciiTheme="majorBidi" w:eastAsia="Calibri" w:hAnsiTheme="majorBidi" w:cs="Times New Roman"/>
          <w:sz w:val="24"/>
          <w:szCs w:val="24"/>
          <w:rtl/>
        </w:rPr>
        <w:t xml:space="preserve"> الفرنسي مرحلة النضج في نقد المعرفة. من خلال تطويره لسوسيولوجيا المعرفة، قدم بورديو إطارًا نظريًا لتحليل موقع الأفراد المثقفين، إذ أسس فهمهم عند تقاطع "الحقل الفكري" و"الحقل السياسي" ضمن سياقاتهم المجتمعية. بوصفها أدوات تحليلية، تُتيح فكرة "الحقول" وسائل فعالة لإجراء دراسة </w:t>
      </w:r>
      <w:proofErr w:type="spellStart"/>
      <w:r w:rsidRPr="00102EB9">
        <w:rPr>
          <w:rFonts w:asciiTheme="majorBidi" w:eastAsia="Calibri" w:hAnsiTheme="majorBidi" w:cs="Times New Roman"/>
          <w:sz w:val="24"/>
          <w:szCs w:val="24"/>
          <w:rtl/>
        </w:rPr>
        <w:t>سوسيولوجية</w:t>
      </w:r>
      <w:proofErr w:type="spellEnd"/>
      <w:r w:rsidRPr="00102EB9">
        <w:rPr>
          <w:rFonts w:asciiTheme="majorBidi" w:eastAsia="Calibri" w:hAnsiTheme="majorBidi" w:cs="Times New Roman"/>
          <w:sz w:val="24"/>
          <w:szCs w:val="24"/>
          <w:rtl/>
        </w:rPr>
        <w:t xml:space="preserve"> معمّقة للمعرفة؛ ذلك أن الربط بين الحقل الفكري والحقل السياسي يُوجّه الباحثين نحو طرح تساؤلات جوهرية غالبًا ما تكون مهمّشة أو غير مدروسة بشكل كافٍ.</w:t>
      </w:r>
    </w:p>
    <w:p w14:paraId="7687A088" w14:textId="77777777" w:rsidR="00D51387" w:rsidRDefault="00D51387" w:rsidP="00D51387">
      <w:pPr>
        <w:jc w:val="both"/>
        <w:rPr>
          <w:rFonts w:asciiTheme="majorBidi" w:eastAsia="Calibri" w:hAnsiTheme="majorBidi" w:cstheme="majorBidi"/>
          <w:sz w:val="24"/>
          <w:szCs w:val="24"/>
          <w:rtl/>
        </w:rPr>
      </w:pPr>
      <w:r w:rsidRPr="00102EB9">
        <w:rPr>
          <w:rFonts w:asciiTheme="majorBidi" w:eastAsia="Calibri" w:hAnsiTheme="majorBidi" w:cs="Times New Roman"/>
          <w:sz w:val="24"/>
          <w:szCs w:val="24"/>
          <w:rtl/>
        </w:rPr>
        <w:t xml:space="preserve">يمثل هذا الربط، بوجه خاص، آلية فعّالة لمواجهة النزعة </w:t>
      </w:r>
      <w:proofErr w:type="spellStart"/>
      <w:r w:rsidRPr="00102EB9">
        <w:rPr>
          <w:rFonts w:asciiTheme="majorBidi" w:eastAsia="Calibri" w:hAnsiTheme="majorBidi" w:cs="Times New Roman"/>
          <w:sz w:val="24"/>
          <w:szCs w:val="24"/>
          <w:rtl/>
        </w:rPr>
        <w:t>الحاضروية</w:t>
      </w:r>
      <w:proofErr w:type="spellEnd"/>
      <w:r w:rsidRPr="00102EB9">
        <w:rPr>
          <w:rFonts w:asciiTheme="majorBidi" w:eastAsia="Calibri" w:hAnsiTheme="majorBidi" w:cs="Times New Roman"/>
          <w:sz w:val="24"/>
          <w:szCs w:val="24"/>
          <w:rtl/>
        </w:rPr>
        <w:t xml:space="preserve"> والقراءات الاسترجاعية التي تسقط الحاضر على الماضي. إذ يعتمد منطق الحقول على ربط الإنتاج الفكري بسياقه السياسي المعاصر، مما يعزز فهمه ضمن إطاره الزمني الخاص. بالإضافة إلى ذلك، يُظهر تصور مواقع المثقفين على هذين المحورين درجة أعلى من الفاعلية مقارنة بمفهوم فوكو الأقل تحديدًا المتمثل في العلاقة بين المعرفة والسلطة. وتكتسب فكرة الحقول أهمية خاصة في السياق الفرنسي، حيث يمكن تحديد مواقع المثقفين بطريقة مؤسسية تستند إلى التحليل التجريبي بدرجة معقولة.</w:t>
      </w:r>
    </w:p>
    <w:p w14:paraId="4C268548" w14:textId="77777777" w:rsidR="00D51387" w:rsidRDefault="00D51387" w:rsidP="00D51387">
      <w:pPr>
        <w:jc w:val="both"/>
        <w:rPr>
          <w:rFonts w:asciiTheme="majorBidi" w:eastAsia="Calibri" w:hAnsiTheme="majorBidi" w:cstheme="majorBidi"/>
          <w:sz w:val="24"/>
          <w:szCs w:val="24"/>
          <w:rtl/>
        </w:rPr>
      </w:pPr>
      <w:r w:rsidRPr="00102EB9">
        <w:rPr>
          <w:rFonts w:asciiTheme="majorBidi" w:eastAsia="Calibri" w:hAnsiTheme="majorBidi" w:cs="Times New Roman"/>
          <w:sz w:val="24"/>
          <w:szCs w:val="24"/>
          <w:rtl/>
        </w:rPr>
        <w:t xml:space="preserve">يتسم النهج </w:t>
      </w:r>
      <w:proofErr w:type="spellStart"/>
      <w:r w:rsidRPr="00102EB9">
        <w:rPr>
          <w:rFonts w:asciiTheme="majorBidi" w:eastAsia="Calibri" w:hAnsiTheme="majorBidi" w:cs="Times New Roman"/>
          <w:sz w:val="24"/>
          <w:szCs w:val="24"/>
          <w:rtl/>
        </w:rPr>
        <w:t>السوسيولوجي</w:t>
      </w:r>
      <w:proofErr w:type="spellEnd"/>
      <w:r w:rsidRPr="00102EB9">
        <w:rPr>
          <w:rFonts w:asciiTheme="majorBidi" w:eastAsia="Calibri" w:hAnsiTheme="majorBidi" w:cs="Times New Roman"/>
          <w:sz w:val="24"/>
          <w:szCs w:val="24"/>
          <w:rtl/>
        </w:rPr>
        <w:t xml:space="preserve"> الذي اعتمده بورديو، المرتكز على تحليل الحقول الفكرية والسياسية، بتباينه عن الطريقة التي اعتمدها سعيد، والتي تميل إلى البُعد </w:t>
      </w:r>
      <w:proofErr w:type="spellStart"/>
      <w:r w:rsidRPr="00102EB9">
        <w:rPr>
          <w:rFonts w:asciiTheme="majorBidi" w:eastAsia="Calibri" w:hAnsiTheme="majorBidi" w:cs="Times New Roman"/>
          <w:sz w:val="24"/>
          <w:szCs w:val="24"/>
          <w:rtl/>
        </w:rPr>
        <w:t>السيري</w:t>
      </w:r>
      <w:proofErr w:type="spellEnd"/>
      <w:r w:rsidRPr="00102EB9">
        <w:rPr>
          <w:rFonts w:asciiTheme="majorBidi" w:eastAsia="Calibri" w:hAnsiTheme="majorBidi" w:cs="Times New Roman"/>
          <w:sz w:val="24"/>
          <w:szCs w:val="24"/>
          <w:rtl/>
        </w:rPr>
        <w:t xml:space="preserve"> النفسي في تحديد مكانة المؤلف. تظهر هذه المقارنة أن التقليد الفرنسي في نقد الاستشراق كان أكثر تطورًا من حيث المنهجية، خاصة في الأعمال المتعلقة بالجزائر والمغرب العربي، مقارنة بالنقد البريطاني والأمريكي، اللذين ظلا متأثرين بما يمكن وصفه اليوم بماركسية غير مكتملة من حيث التنظير.</w:t>
      </w:r>
    </w:p>
    <w:p w14:paraId="546F7743" w14:textId="2D5EFDBC" w:rsidR="00D51387" w:rsidRDefault="00D51387" w:rsidP="00D51387">
      <w:pPr>
        <w:jc w:val="both"/>
        <w:rPr>
          <w:rFonts w:asciiTheme="majorBidi" w:eastAsia="Calibri" w:hAnsiTheme="majorBidi" w:cstheme="majorBidi"/>
          <w:sz w:val="24"/>
          <w:szCs w:val="24"/>
          <w:rtl/>
        </w:rPr>
      </w:pPr>
    </w:p>
    <w:p w14:paraId="3038DBE1" w14:textId="105824A0" w:rsidR="00D51387" w:rsidRDefault="00D51387" w:rsidP="00D51387">
      <w:pPr>
        <w:jc w:val="both"/>
        <w:rPr>
          <w:rFonts w:asciiTheme="majorBidi" w:eastAsia="Calibri" w:hAnsiTheme="majorBidi" w:cstheme="majorBidi"/>
          <w:sz w:val="24"/>
          <w:szCs w:val="24"/>
          <w:rtl/>
        </w:rPr>
      </w:pPr>
    </w:p>
    <w:p w14:paraId="2081D875" w14:textId="3059BB2D" w:rsidR="00D51387" w:rsidRDefault="00D51387" w:rsidP="00D51387">
      <w:pPr>
        <w:jc w:val="both"/>
        <w:rPr>
          <w:rFonts w:asciiTheme="majorBidi" w:eastAsia="Calibri" w:hAnsiTheme="majorBidi" w:cstheme="majorBidi"/>
          <w:sz w:val="24"/>
          <w:szCs w:val="24"/>
          <w:rtl/>
        </w:rPr>
      </w:pPr>
    </w:p>
    <w:p w14:paraId="7D6E6970" w14:textId="0FCFE174" w:rsidR="00D51387" w:rsidRDefault="00D51387" w:rsidP="00D51387">
      <w:pPr>
        <w:jc w:val="both"/>
        <w:rPr>
          <w:rFonts w:asciiTheme="majorBidi" w:eastAsia="Calibri" w:hAnsiTheme="majorBidi" w:cstheme="majorBidi"/>
          <w:sz w:val="24"/>
          <w:szCs w:val="24"/>
          <w:rtl/>
        </w:rPr>
      </w:pPr>
    </w:p>
    <w:p w14:paraId="3508EB0B" w14:textId="322DDEE9" w:rsidR="00D51387" w:rsidRDefault="00D51387" w:rsidP="00D51387">
      <w:pPr>
        <w:jc w:val="both"/>
        <w:rPr>
          <w:rFonts w:asciiTheme="majorBidi" w:eastAsia="Calibri" w:hAnsiTheme="majorBidi" w:cstheme="majorBidi"/>
          <w:sz w:val="24"/>
          <w:szCs w:val="24"/>
          <w:rtl/>
        </w:rPr>
      </w:pPr>
    </w:p>
    <w:p w14:paraId="24CD6949" w14:textId="774CEAC9" w:rsidR="00D51387" w:rsidRDefault="00D51387" w:rsidP="00D51387">
      <w:pPr>
        <w:jc w:val="both"/>
        <w:rPr>
          <w:rFonts w:asciiTheme="majorBidi" w:eastAsia="Calibri" w:hAnsiTheme="majorBidi" w:cstheme="majorBidi"/>
          <w:sz w:val="24"/>
          <w:szCs w:val="24"/>
          <w:rtl/>
        </w:rPr>
      </w:pPr>
    </w:p>
    <w:p w14:paraId="5CD815FB" w14:textId="68D02CDA" w:rsidR="00D51387" w:rsidRDefault="00D51387" w:rsidP="00D51387">
      <w:pPr>
        <w:jc w:val="both"/>
        <w:rPr>
          <w:rFonts w:asciiTheme="majorBidi" w:eastAsia="Calibri" w:hAnsiTheme="majorBidi" w:cstheme="majorBidi"/>
          <w:sz w:val="24"/>
          <w:szCs w:val="24"/>
          <w:rtl/>
        </w:rPr>
      </w:pPr>
    </w:p>
    <w:p w14:paraId="30C7428D" w14:textId="77777777" w:rsidR="00D51387" w:rsidRDefault="00D51387" w:rsidP="00D51387">
      <w:pPr>
        <w:jc w:val="both"/>
        <w:rPr>
          <w:rFonts w:asciiTheme="majorBidi" w:eastAsia="Calibri" w:hAnsiTheme="majorBidi" w:cstheme="majorBidi"/>
          <w:b/>
          <w:bCs/>
          <w:sz w:val="28"/>
          <w:szCs w:val="28"/>
          <w:rtl/>
        </w:rPr>
      </w:pPr>
      <w:r w:rsidRPr="006B282C">
        <w:rPr>
          <w:rFonts w:asciiTheme="majorBidi" w:eastAsia="Calibri" w:hAnsiTheme="majorBidi" w:cs="Times New Roman"/>
          <w:b/>
          <w:bCs/>
          <w:sz w:val="28"/>
          <w:szCs w:val="28"/>
          <w:rtl/>
        </w:rPr>
        <w:t>تحولات الفكر الإمبريالي: من الماركسية التقليدية إلى الاستشراق وما بعده</w:t>
      </w:r>
    </w:p>
    <w:p w14:paraId="15558BE7" w14:textId="76267BFE" w:rsidR="00D51387" w:rsidRDefault="00D51387" w:rsidP="00D51387">
      <w:pPr>
        <w:jc w:val="both"/>
        <w:rPr>
          <w:rFonts w:asciiTheme="majorBidi" w:eastAsia="Calibri" w:hAnsiTheme="majorBidi" w:cstheme="majorBidi"/>
          <w:sz w:val="24"/>
          <w:szCs w:val="24"/>
          <w:rtl/>
        </w:rPr>
      </w:pPr>
    </w:p>
    <w:p w14:paraId="58F4694C" w14:textId="77777777" w:rsidR="00D51387" w:rsidRPr="006B282C" w:rsidRDefault="00D51387" w:rsidP="00D51387">
      <w:pPr>
        <w:jc w:val="both"/>
        <w:rPr>
          <w:rFonts w:asciiTheme="majorBidi" w:eastAsia="Calibri" w:hAnsiTheme="majorBidi" w:cstheme="majorBidi"/>
          <w:sz w:val="24"/>
          <w:szCs w:val="24"/>
          <w:rtl/>
        </w:rPr>
      </w:pPr>
      <w:r w:rsidRPr="006B282C">
        <w:rPr>
          <w:rFonts w:asciiTheme="majorBidi" w:eastAsia="Calibri" w:hAnsiTheme="majorBidi" w:cs="Times New Roman"/>
          <w:sz w:val="24"/>
          <w:szCs w:val="24"/>
          <w:rtl/>
        </w:rPr>
        <w:t xml:space="preserve">نجمع خيوط المقال عبر تلخيص المشهد الفكري والسياسي مع اقتراب صدور كتاب </w:t>
      </w:r>
      <w:r w:rsidRPr="006B282C">
        <w:rPr>
          <w:rFonts w:asciiTheme="majorBidi" w:eastAsia="Calibri" w:hAnsiTheme="majorBidi" w:cs="Times New Roman"/>
          <w:i/>
          <w:iCs/>
          <w:sz w:val="24"/>
          <w:szCs w:val="24"/>
          <w:rtl/>
        </w:rPr>
        <w:t>الاستشراق</w:t>
      </w:r>
      <w:r w:rsidRPr="006B282C">
        <w:rPr>
          <w:rFonts w:asciiTheme="majorBidi" w:eastAsia="Calibri" w:hAnsiTheme="majorBidi" w:cs="Times New Roman"/>
          <w:sz w:val="24"/>
          <w:szCs w:val="24"/>
          <w:rtl/>
        </w:rPr>
        <w:t xml:space="preserve">. يتضح أن نقد الفكر الإمبريالي فقد صفة الإلحاح الفكري في بريطانيا، باستثناء بعض الأعمال المحدودة مثل ما قدمه </w:t>
      </w:r>
      <w:proofErr w:type="spellStart"/>
      <w:r w:rsidRPr="006B282C">
        <w:rPr>
          <w:rFonts w:asciiTheme="majorBidi" w:eastAsia="Calibri" w:hAnsiTheme="majorBidi" w:cs="Times New Roman"/>
          <w:sz w:val="24"/>
          <w:szCs w:val="24"/>
          <w:rtl/>
        </w:rPr>
        <w:t>ترنر</w:t>
      </w:r>
      <w:proofErr w:type="spellEnd"/>
      <w:r w:rsidRPr="006B282C">
        <w:rPr>
          <w:rFonts w:asciiTheme="majorBidi" w:eastAsia="Calibri" w:hAnsiTheme="majorBidi" w:cs="Times New Roman"/>
          <w:sz w:val="24"/>
          <w:szCs w:val="24"/>
          <w:rtl/>
        </w:rPr>
        <w:t xml:space="preserve"> وأعضاء </w:t>
      </w:r>
      <w:r w:rsidRPr="006B282C">
        <w:rPr>
          <w:rFonts w:asciiTheme="majorBidi" w:eastAsia="Calibri" w:hAnsiTheme="majorBidi" w:cs="Times New Roman"/>
          <w:i/>
          <w:iCs/>
          <w:sz w:val="24"/>
          <w:szCs w:val="24"/>
          <w:rtl/>
        </w:rPr>
        <w:t>"مجموعة هال".</w:t>
      </w:r>
      <w:r w:rsidRPr="006B282C">
        <w:rPr>
          <w:rFonts w:asciiTheme="majorBidi" w:eastAsia="Calibri" w:hAnsiTheme="majorBidi" w:cs="Times New Roman"/>
          <w:sz w:val="24"/>
          <w:szCs w:val="24"/>
          <w:rtl/>
        </w:rPr>
        <w:t xml:space="preserve"> أما في الولايات المتحدة، فبالرغم من أن النضال المناهض للاستعمار أثار قضايا فكرية جوهرية حول المعرفة الاستعمارية، وخاصة في مجال الأنثروبولوجيا، إلا أنه بحلول عام 1978 لم يؤدِ إلى تحول جذري في اللغة التقدمية السائدة التي تعتمد على الماركسية في نقد الإمبريالية والعنصرية. ومع ظهور نموذج فكري جديد لاحقًا نتيجة للتحول اللغوي، كانت الماركسية الأكاديمية قد بلغت مرحلة من الركود.</w:t>
      </w:r>
    </w:p>
    <w:p w14:paraId="33786B24" w14:textId="77777777" w:rsidR="00D51387" w:rsidRDefault="00D51387" w:rsidP="00D51387">
      <w:pPr>
        <w:jc w:val="both"/>
        <w:rPr>
          <w:rFonts w:asciiTheme="majorBidi" w:eastAsia="Calibri" w:hAnsiTheme="majorBidi" w:cstheme="majorBidi"/>
          <w:sz w:val="24"/>
          <w:szCs w:val="24"/>
          <w:rtl/>
        </w:rPr>
      </w:pPr>
      <w:r w:rsidRPr="006B282C">
        <w:rPr>
          <w:rFonts w:asciiTheme="majorBidi" w:eastAsia="Calibri" w:hAnsiTheme="majorBidi" w:cs="Times New Roman"/>
          <w:sz w:val="24"/>
          <w:szCs w:val="24"/>
          <w:rtl/>
        </w:rPr>
        <w:t>تُظهر التحليلات أنها عجزت عن صياغة نقد شامل قادر على جذب اهتمام واسع فيما يخص البطريركية والعرق والثقافة، وهي مجالات بقيت متأثرة بشكل كبير بالأرثوذكسية الماركسية التقليدية. وفي المقابل، ومع نهاية حرب فيتنام وانحسار النزاعات السياسية والاجتماعية المرتبطة بحركات إنهاء الاستعمار، بدأت التيارات الفكرية في بريطانيا والولايات المتحدة تتوجه نحو مسارات جديدة.</w:t>
      </w:r>
    </w:p>
    <w:p w14:paraId="2DB31873" w14:textId="77777777" w:rsidR="00D51387" w:rsidRDefault="00D51387" w:rsidP="00D51387">
      <w:pPr>
        <w:jc w:val="both"/>
        <w:rPr>
          <w:rFonts w:asciiTheme="majorBidi" w:eastAsia="Calibri" w:hAnsiTheme="majorBidi" w:cstheme="majorBidi"/>
          <w:sz w:val="24"/>
          <w:szCs w:val="24"/>
          <w:rtl/>
        </w:rPr>
      </w:pPr>
      <w:r w:rsidRPr="00AD52E0">
        <w:rPr>
          <w:rFonts w:asciiTheme="majorBidi" w:eastAsia="Calibri" w:hAnsiTheme="majorBidi" w:cs="Times New Roman"/>
          <w:sz w:val="24"/>
          <w:szCs w:val="24"/>
          <w:rtl/>
        </w:rPr>
        <w:t>وبالنظر إلى الأحداث بأثر رجعي، يمكن اعتبار عام 1978 نقطة تحول سياسية بارزة. فعلى الصعيد الدولي، ومع انتهاء حرب فيتنام، كانت القومية التقدمية في دول العالم الثالث تبدو في موقع يمكنها من تحقيق المزيد من المكاسب، في ظل التضامن الأممي الداعم لها. أما في الولايات المتحدة، فقد استمر التحالف المؤقت بين حركات الحقوق المدنية والحركة المناهضة للحرب في الوجود. وبالنسبة لكثير من المراقبين، كانت القومية العربية التقدمية تبدو على أعتاب تحقيق نصر حاسم في منطقة الشرق الأوسط، في الوقت الذي بلغت فيه منظمة التحرير الفلسطينية ذروة قوتها ونفوذها.</w:t>
      </w:r>
    </w:p>
    <w:p w14:paraId="4ABDBB7C" w14:textId="77777777" w:rsidR="00D51387" w:rsidRDefault="00D51387" w:rsidP="00D51387">
      <w:pPr>
        <w:jc w:val="both"/>
        <w:rPr>
          <w:rFonts w:asciiTheme="majorBidi" w:eastAsia="Calibri" w:hAnsiTheme="majorBidi" w:cstheme="majorBidi"/>
          <w:sz w:val="24"/>
          <w:szCs w:val="24"/>
          <w:rtl/>
        </w:rPr>
      </w:pPr>
      <w:r w:rsidRPr="00AD52E0">
        <w:rPr>
          <w:rFonts w:asciiTheme="majorBidi" w:eastAsia="Calibri" w:hAnsiTheme="majorBidi" w:cs="Times New Roman"/>
          <w:sz w:val="24"/>
          <w:szCs w:val="24"/>
          <w:rtl/>
        </w:rPr>
        <w:t>هذا المشهد كان على وشك أن يشهد تحوّلًا جذريًا. فالثورات الفاشلة في أفغانستان ولبنان، إلى جانب الثورة الإسلامية في إيران عام 1979، والاجتياح الإسرائيلي للبنان عام 1982 وما ترتب عليه من إخراج منظمة التحرير الفلسطينية من بيروت، أُعيد من خلالها تشكيل المشهد السياسي للشرق الأوسط بشكل كامل. وفي الوقت ذاته، شكل وصول مارغريت تاتشر إلى السلطة في بريطانيا ورونالد ريغان في الولايات المتحدة نقطة تحول أنهت حقبة سياسية محددة. وفي لحظة خاطفة، انتهى عهد القومية التقدمية في العالم الثالث، ومعه تراجع النقد الماركسي للفكر الإمبريالي.</w:t>
      </w:r>
    </w:p>
    <w:p w14:paraId="6BCE575D" w14:textId="77777777" w:rsidR="00D51387" w:rsidRDefault="00D51387" w:rsidP="00D51387">
      <w:pPr>
        <w:jc w:val="both"/>
        <w:rPr>
          <w:rFonts w:asciiTheme="majorBidi" w:eastAsia="Calibri" w:hAnsiTheme="majorBidi" w:cstheme="majorBidi"/>
          <w:sz w:val="24"/>
          <w:szCs w:val="24"/>
          <w:rtl/>
        </w:rPr>
      </w:pPr>
      <w:r w:rsidRPr="00AD52E0">
        <w:rPr>
          <w:rFonts w:asciiTheme="majorBidi" w:eastAsia="Calibri" w:hAnsiTheme="majorBidi" w:cs="Times New Roman"/>
          <w:sz w:val="24"/>
          <w:szCs w:val="24"/>
          <w:rtl/>
        </w:rPr>
        <w:t xml:space="preserve">وهنا يتجلى تناقض مصير </w:t>
      </w:r>
      <w:r w:rsidRPr="00AD52E0">
        <w:rPr>
          <w:rFonts w:asciiTheme="majorBidi" w:eastAsia="Calibri" w:hAnsiTheme="majorBidi" w:cs="Times New Roman"/>
          <w:i/>
          <w:iCs/>
          <w:sz w:val="24"/>
          <w:szCs w:val="24"/>
          <w:rtl/>
        </w:rPr>
        <w:t>الاستشراق.</w:t>
      </w:r>
      <w:r w:rsidRPr="00AD52E0">
        <w:rPr>
          <w:rFonts w:asciiTheme="majorBidi" w:eastAsia="Calibri" w:hAnsiTheme="majorBidi" w:cs="Times New Roman"/>
          <w:sz w:val="24"/>
          <w:szCs w:val="24"/>
          <w:rtl/>
        </w:rPr>
        <w:t xml:space="preserve"> فعند لحظة نشره، كانت السياقات السياسية والفكرية التي تناولها الكتاب قد بدأت بالفعل في التغير. وعلى الرغم من الدور الأساسي الذي لعبه ا</w:t>
      </w:r>
      <w:r w:rsidRPr="00AD52E0">
        <w:rPr>
          <w:rFonts w:asciiTheme="majorBidi" w:eastAsia="Calibri" w:hAnsiTheme="majorBidi" w:cs="Times New Roman"/>
          <w:i/>
          <w:iCs/>
          <w:sz w:val="24"/>
          <w:szCs w:val="24"/>
          <w:rtl/>
        </w:rPr>
        <w:t>لاستشراق</w:t>
      </w:r>
      <w:r w:rsidRPr="00AD52E0">
        <w:rPr>
          <w:rFonts w:asciiTheme="majorBidi" w:eastAsia="Calibri" w:hAnsiTheme="majorBidi" w:cs="Times New Roman"/>
          <w:sz w:val="24"/>
          <w:szCs w:val="24"/>
          <w:rtl/>
        </w:rPr>
        <w:t xml:space="preserve"> في دفع هذه التغييرات، فإنها كانت تحولات لم يكن مؤلفه ليتوقعها.</w:t>
      </w:r>
    </w:p>
    <w:p w14:paraId="65FA8A63" w14:textId="77777777" w:rsidR="00D51387" w:rsidRDefault="00D51387" w:rsidP="00D51387">
      <w:pPr>
        <w:jc w:val="both"/>
        <w:rPr>
          <w:rFonts w:asciiTheme="majorBidi" w:eastAsia="Calibri" w:hAnsiTheme="majorBidi" w:cstheme="majorBidi"/>
          <w:sz w:val="24"/>
          <w:szCs w:val="24"/>
          <w:rtl/>
        </w:rPr>
      </w:pPr>
      <w:r w:rsidRPr="00AD52E0">
        <w:rPr>
          <w:rFonts w:asciiTheme="majorBidi" w:eastAsia="Calibri" w:hAnsiTheme="majorBidi" w:cs="Times New Roman"/>
          <w:sz w:val="24"/>
          <w:szCs w:val="24"/>
          <w:rtl/>
        </w:rPr>
        <w:t>ما الذي يمكن استنتاجه، إذن، بشأن الإنجاز التاريخي الذي حققه كتاب إدوارد سعيد "</w:t>
      </w:r>
      <w:r w:rsidRPr="00AD52E0">
        <w:rPr>
          <w:rFonts w:asciiTheme="majorBidi" w:eastAsia="Calibri" w:hAnsiTheme="majorBidi" w:cs="Times New Roman"/>
          <w:i/>
          <w:iCs/>
          <w:sz w:val="24"/>
          <w:szCs w:val="24"/>
          <w:rtl/>
        </w:rPr>
        <w:t>الاستشراق"</w:t>
      </w:r>
      <w:r w:rsidRPr="00AD52E0">
        <w:rPr>
          <w:rFonts w:asciiTheme="majorBidi" w:eastAsia="Calibri" w:hAnsiTheme="majorBidi" w:cs="Times New Roman"/>
          <w:sz w:val="24"/>
          <w:szCs w:val="24"/>
          <w:rtl/>
        </w:rPr>
        <w:t>؟ من جانب، استطاع سعيد أن يُفتتح أفقًا ثقافيًا جديدًا يتحرر من الإطار الماركسي التقليدي للصراع الفكري، وذلك عبر تحليل الاستشراق كنمط من الخطاب. ومن خلال هذا النهج، نجح في إقامة تداخلات فكرية وسياسية تجمع بين الحركات النسوية، سكان الأقليات داخل المجتمعات الغربية، وشعوب الجنوب العالمي غير الغربي. ومع ذلك، وعلى الصعيد السياسي، أدى تركه للنقد الماركسي للإمبريالية إلى حدٍّ بعيد إلى التخلي عن الرموز التحليلية التاريخية التي تفسر تطور الإمبريالية ذاتها. وطبيعة تصنيفه للاستشراق كصورة خطابية من الإمبريالية أسهمت بشكلٍ ملحوظ في تعقيد تفسير نشأة النزعات القومية، مما أضعف بذلك الأثر الناجم عن فاعلية الشعوب المستعمَرة في مقاومة تلك الهواجس الاستعمارية.</w:t>
      </w:r>
    </w:p>
    <w:p w14:paraId="3D6FABC5" w14:textId="4F1282CF" w:rsidR="00D51387" w:rsidRDefault="00D51387" w:rsidP="00D51387">
      <w:pPr>
        <w:jc w:val="both"/>
        <w:rPr>
          <w:rFonts w:asciiTheme="majorBidi" w:eastAsia="Calibri" w:hAnsiTheme="majorBidi" w:cstheme="majorBidi"/>
          <w:sz w:val="24"/>
          <w:szCs w:val="24"/>
          <w:rtl/>
        </w:rPr>
      </w:pPr>
    </w:p>
    <w:p w14:paraId="14312781" w14:textId="3CC52D58" w:rsidR="00D51387" w:rsidRDefault="00D51387" w:rsidP="00D51387">
      <w:pPr>
        <w:jc w:val="both"/>
        <w:rPr>
          <w:rFonts w:asciiTheme="majorBidi" w:eastAsia="Calibri" w:hAnsiTheme="majorBidi" w:cstheme="majorBidi"/>
          <w:sz w:val="24"/>
          <w:szCs w:val="24"/>
          <w:rtl/>
        </w:rPr>
      </w:pPr>
    </w:p>
    <w:p w14:paraId="73696C9F" w14:textId="2E78FFEE" w:rsidR="00D51387" w:rsidRDefault="00D51387" w:rsidP="00D51387">
      <w:pPr>
        <w:jc w:val="both"/>
        <w:rPr>
          <w:rFonts w:asciiTheme="majorBidi" w:eastAsia="Calibri" w:hAnsiTheme="majorBidi" w:cstheme="majorBidi"/>
          <w:sz w:val="24"/>
          <w:szCs w:val="24"/>
          <w:rtl/>
        </w:rPr>
      </w:pPr>
    </w:p>
    <w:p w14:paraId="72FF2426" w14:textId="411ACC14" w:rsidR="00D51387" w:rsidRDefault="00D51387" w:rsidP="00D51387">
      <w:pPr>
        <w:jc w:val="both"/>
        <w:rPr>
          <w:rFonts w:asciiTheme="majorBidi" w:eastAsia="Calibri" w:hAnsiTheme="majorBidi" w:cstheme="majorBidi"/>
          <w:sz w:val="24"/>
          <w:szCs w:val="24"/>
          <w:rtl/>
        </w:rPr>
      </w:pPr>
    </w:p>
    <w:p w14:paraId="3C13E1EC" w14:textId="61CEFF96" w:rsidR="00D51387" w:rsidRDefault="00D51387" w:rsidP="00D51387">
      <w:pPr>
        <w:jc w:val="both"/>
        <w:rPr>
          <w:rFonts w:asciiTheme="majorBidi" w:eastAsia="Calibri" w:hAnsiTheme="majorBidi" w:cstheme="majorBidi"/>
          <w:sz w:val="24"/>
          <w:szCs w:val="24"/>
          <w:rtl/>
        </w:rPr>
      </w:pPr>
    </w:p>
    <w:p w14:paraId="5D300A10" w14:textId="16FEE939" w:rsidR="00D51387" w:rsidRDefault="00D51387" w:rsidP="00D51387">
      <w:pPr>
        <w:jc w:val="both"/>
        <w:rPr>
          <w:rFonts w:asciiTheme="majorBidi" w:eastAsia="Calibri" w:hAnsiTheme="majorBidi" w:cstheme="majorBidi"/>
          <w:sz w:val="24"/>
          <w:szCs w:val="24"/>
          <w:rtl/>
        </w:rPr>
      </w:pPr>
    </w:p>
    <w:p w14:paraId="4C45E847" w14:textId="30ECCAF4" w:rsidR="00D51387" w:rsidRDefault="00D51387" w:rsidP="00D51387">
      <w:pPr>
        <w:jc w:val="both"/>
        <w:rPr>
          <w:rFonts w:asciiTheme="majorBidi" w:eastAsia="Calibri" w:hAnsiTheme="majorBidi" w:cstheme="majorBidi"/>
          <w:sz w:val="24"/>
          <w:szCs w:val="24"/>
          <w:rtl/>
        </w:rPr>
      </w:pPr>
    </w:p>
    <w:p w14:paraId="0732C058" w14:textId="4109B14E" w:rsidR="00D51387" w:rsidRDefault="00D51387" w:rsidP="00D51387">
      <w:pPr>
        <w:jc w:val="both"/>
        <w:rPr>
          <w:rFonts w:asciiTheme="majorBidi" w:eastAsia="Calibri" w:hAnsiTheme="majorBidi" w:cstheme="majorBidi"/>
          <w:sz w:val="24"/>
          <w:szCs w:val="24"/>
          <w:rtl/>
        </w:rPr>
      </w:pPr>
    </w:p>
    <w:p w14:paraId="2BE3E62A" w14:textId="61019127" w:rsidR="00D51387" w:rsidRDefault="00D51387" w:rsidP="00D51387">
      <w:pPr>
        <w:jc w:val="both"/>
        <w:rPr>
          <w:rFonts w:asciiTheme="majorBidi" w:eastAsia="Calibri" w:hAnsiTheme="majorBidi" w:cstheme="majorBidi"/>
          <w:sz w:val="24"/>
          <w:szCs w:val="24"/>
          <w:rtl/>
        </w:rPr>
      </w:pPr>
    </w:p>
    <w:p w14:paraId="627EBA88" w14:textId="77777777" w:rsidR="00D51387" w:rsidRDefault="00D51387" w:rsidP="00D51387">
      <w:pPr>
        <w:jc w:val="both"/>
        <w:rPr>
          <w:rFonts w:asciiTheme="majorBidi" w:eastAsia="Calibri" w:hAnsiTheme="majorBidi" w:cstheme="majorBidi"/>
          <w:b/>
          <w:bCs/>
          <w:sz w:val="28"/>
          <w:szCs w:val="28"/>
          <w:rtl/>
        </w:rPr>
      </w:pPr>
      <w:r w:rsidRPr="004F6553">
        <w:rPr>
          <w:rFonts w:asciiTheme="majorBidi" w:eastAsia="Calibri" w:hAnsiTheme="majorBidi" w:cs="Times New Roman"/>
          <w:b/>
          <w:bCs/>
          <w:sz w:val="28"/>
          <w:szCs w:val="28"/>
          <w:rtl/>
        </w:rPr>
        <w:t>التاريخ العالمي والحداثة: نقد الاستشراق كأداة لفهم الغرب والشرق</w:t>
      </w:r>
    </w:p>
    <w:p w14:paraId="142A7257" w14:textId="4BF8D92A" w:rsidR="00D51387" w:rsidRDefault="00D51387" w:rsidP="00D51387">
      <w:pPr>
        <w:jc w:val="both"/>
        <w:rPr>
          <w:rFonts w:asciiTheme="majorBidi" w:eastAsia="Calibri" w:hAnsiTheme="majorBidi" w:cstheme="majorBidi"/>
          <w:sz w:val="24"/>
          <w:szCs w:val="24"/>
          <w:rtl/>
        </w:rPr>
      </w:pPr>
    </w:p>
    <w:p w14:paraId="26BBC572" w14:textId="77777777" w:rsidR="00D51387" w:rsidRDefault="00D51387" w:rsidP="00D51387">
      <w:pPr>
        <w:jc w:val="both"/>
        <w:rPr>
          <w:rFonts w:asciiTheme="majorBidi" w:eastAsia="Calibri" w:hAnsiTheme="majorBidi" w:cstheme="majorBidi"/>
          <w:sz w:val="24"/>
          <w:szCs w:val="24"/>
          <w:rtl/>
        </w:rPr>
      </w:pPr>
      <w:r w:rsidRPr="00601812">
        <w:rPr>
          <w:rFonts w:asciiTheme="majorBidi" w:eastAsia="Calibri" w:hAnsiTheme="majorBidi" w:cs="Times New Roman"/>
          <w:sz w:val="24"/>
          <w:szCs w:val="24"/>
          <w:rtl/>
        </w:rPr>
        <w:t>إن أبرز إسهامات النقد الماركسي التي تجلّت في مواجهته للفكر الإمبريالي قبل عام 1978 تمثلت في إدراكه العميق للطبيعة التاريخية للمعارف الاستعمارية، وفي تحليله المتقدم لتمثيلات الاستشراق وعلاقتها بالسلطة. كما اتسم هذا النقد بوضوح أخلاقي بارز في موقفه المناهض للإمبريالية. ومن هذا المنطلق، ولارتباطه بالسياق التاريخي، أتاح النقد الماركسي مقاربة أكثر تأثيرًا مقارنة بمفهوم "الاستشراق" الذي جاء لاحقًا ليحتل موقع الصدارة. ومع ذلك، وبرغم قوته التحليلية وأهميته الفكرية، ظل هذا النقد مقيّدًا بإطار عزلة أكاديمية نسبية، ولم ينجح في إحداث تغيير جوهري وشامل ضمن الحقل الثقافي. ويرجع ذلك إلى عدم استيعاب الأطر التقليدية للنقد الماركسي لبذور النقد الثقافي الصاعدة أو مواكبتها بأسلوب فعّال.</w:t>
      </w:r>
    </w:p>
    <w:p w14:paraId="0C925EC3" w14:textId="77777777" w:rsidR="00D51387" w:rsidRPr="00601812" w:rsidRDefault="00D51387" w:rsidP="00D51387">
      <w:pPr>
        <w:jc w:val="both"/>
        <w:rPr>
          <w:rFonts w:asciiTheme="majorBidi" w:eastAsia="Calibri" w:hAnsiTheme="majorBidi" w:cstheme="majorBidi"/>
          <w:sz w:val="24"/>
          <w:szCs w:val="24"/>
          <w:rtl/>
        </w:rPr>
      </w:pPr>
      <w:r w:rsidRPr="00601812">
        <w:rPr>
          <w:rFonts w:asciiTheme="majorBidi" w:eastAsia="Calibri" w:hAnsiTheme="majorBidi" w:cs="Times New Roman"/>
          <w:sz w:val="24"/>
          <w:szCs w:val="24"/>
          <w:rtl/>
        </w:rPr>
        <w:t>ع التحوّل نحو التحليل الخطابي للاستشراق، تم تحقيق إنجازات كبيرة، لكن استعادة الأنساب المعقّدة التي تناولناها هنا تكشف عن خسائر ملحوظة رافقت هذا التحوّل، وخصوصًا عند التخلي عن النقد الماركسي للفكر الإمبريالي. بشكل أدق، العلاقات الخطابية بين الاستشراق والقومية، التي أثار إدوارد سعيد الاهتمام بها منذ عام 1978، لم تكن مفهومة بالشكل الكافي في سبعينيات القرن العشرين. فقد كانت اللغة النظرية والمفاهيمية اللازمة لتحليل القومية بوصفها خطابًا لم تصل إلى مرحلة النضج بعد، كما كان من الصعب في ذلك الوقت تقديم نقد صريح للقوميات التقدمية في دول العالم الثالث.</w:t>
      </w:r>
    </w:p>
    <w:p w14:paraId="664A2917" w14:textId="77777777" w:rsidR="00D51387" w:rsidRDefault="00D51387" w:rsidP="00D51387">
      <w:pPr>
        <w:jc w:val="both"/>
        <w:rPr>
          <w:rFonts w:asciiTheme="majorBidi" w:eastAsia="Calibri" w:hAnsiTheme="majorBidi" w:cstheme="majorBidi"/>
          <w:sz w:val="24"/>
          <w:szCs w:val="24"/>
          <w:rtl/>
        </w:rPr>
      </w:pPr>
      <w:r w:rsidRPr="00601812">
        <w:rPr>
          <w:rFonts w:asciiTheme="majorBidi" w:eastAsia="Calibri" w:hAnsiTheme="majorBidi" w:cs="Times New Roman"/>
          <w:sz w:val="24"/>
          <w:szCs w:val="24"/>
          <w:rtl/>
        </w:rPr>
        <w:t xml:space="preserve">أدى هذا المسار فيما بعد إلى ظهور حقل الدراسات ما بعد </w:t>
      </w:r>
      <w:proofErr w:type="spellStart"/>
      <w:r w:rsidRPr="00601812">
        <w:rPr>
          <w:rFonts w:asciiTheme="majorBidi" w:eastAsia="Calibri" w:hAnsiTheme="majorBidi" w:cs="Times New Roman"/>
          <w:sz w:val="24"/>
          <w:szCs w:val="24"/>
          <w:rtl/>
        </w:rPr>
        <w:t>الكولونيالية</w:t>
      </w:r>
      <w:proofErr w:type="spellEnd"/>
      <w:r w:rsidRPr="00601812">
        <w:rPr>
          <w:rFonts w:asciiTheme="majorBidi" w:eastAsia="Calibri" w:hAnsiTheme="majorBidi" w:cs="Times New Roman"/>
          <w:sz w:val="24"/>
          <w:szCs w:val="24"/>
          <w:rtl/>
        </w:rPr>
        <w:t>، الذي أتاح لأول مرة إطارًا نظريًا لفهم الكيفيات التي ساهم بها كل من العرق والسلطة في تشكيل العالم الحديث. كما أسهم في ربط مصائر شعوب العالم ما بعد الاستعمار بمصائر الأقليات داخل المجتمعات الغربية ذاتها. ولم تقتصر تأثيرات التحول اللغوي، ومن ثم نقد الاستشراق، عند هذا الحد؛ بل سرعان ما أدت إلى زعزعة الثقة بالسرديات الموحدة والتأسيسية. ومع ذلك، يحمل هذا النهج في طياته خطر الابتعاد عن الانخراط العميق والجدي مع التاريخ.</w:t>
      </w:r>
    </w:p>
    <w:p w14:paraId="461757C8" w14:textId="77777777" w:rsidR="00D51387" w:rsidRDefault="00D51387" w:rsidP="00D51387">
      <w:pPr>
        <w:jc w:val="both"/>
        <w:rPr>
          <w:rFonts w:asciiTheme="majorBidi" w:eastAsia="Calibri" w:hAnsiTheme="majorBidi" w:cstheme="majorBidi"/>
          <w:sz w:val="24"/>
          <w:szCs w:val="24"/>
          <w:rtl/>
        </w:rPr>
      </w:pPr>
      <w:r w:rsidRPr="00601812">
        <w:rPr>
          <w:rFonts w:asciiTheme="majorBidi" w:eastAsia="Calibri" w:hAnsiTheme="majorBidi" w:cs="Times New Roman"/>
          <w:sz w:val="24"/>
          <w:szCs w:val="24"/>
          <w:rtl/>
        </w:rPr>
        <w:t xml:space="preserve">ولكي يواصل نقد الاستشراق تحقيق مزيد من التقدم والازدهار، يجب عليه اليوم أن يتبنى منظورًا تاريخيًا ويعيد النظر في طريقة تنظير الحداثة وتأريخها على حدّ سواء. فمن ناحية، يميل بعض الباحثين المنتمين إلى المنظور ما بعد </w:t>
      </w:r>
      <w:proofErr w:type="spellStart"/>
      <w:r w:rsidRPr="00601812">
        <w:rPr>
          <w:rFonts w:asciiTheme="majorBidi" w:eastAsia="Calibri" w:hAnsiTheme="majorBidi" w:cs="Times New Roman"/>
          <w:sz w:val="24"/>
          <w:szCs w:val="24"/>
          <w:rtl/>
        </w:rPr>
        <w:t>الكولونيالي</w:t>
      </w:r>
      <w:proofErr w:type="spellEnd"/>
      <w:r w:rsidRPr="00601812">
        <w:rPr>
          <w:rFonts w:asciiTheme="majorBidi" w:eastAsia="Calibri" w:hAnsiTheme="majorBidi" w:cs="Times New Roman"/>
          <w:sz w:val="24"/>
          <w:szCs w:val="24"/>
          <w:rtl/>
        </w:rPr>
        <w:t xml:space="preserve">، استنادًا إلى قناعتهم بعدم وجود سرديات شاملة غير قابلة للنقد، إلى تجنّب الانخراط في مقاربة التاريخ العالمي، وذلك بسبب ما يعتبرونه استمرارًا لنزعات غائية فيه وإعراضًا عن التأثيرات اللغوية والثقافية. ومن ناحية أخرى، يتحفظ مؤرخو التاريخ العالمي على استخدام النظرية ما بعد </w:t>
      </w:r>
      <w:proofErr w:type="spellStart"/>
      <w:r w:rsidRPr="00601812">
        <w:rPr>
          <w:rFonts w:asciiTheme="majorBidi" w:eastAsia="Calibri" w:hAnsiTheme="majorBidi" w:cs="Times New Roman"/>
          <w:sz w:val="24"/>
          <w:szCs w:val="24"/>
          <w:rtl/>
        </w:rPr>
        <w:t>الكولونيالية</w:t>
      </w:r>
      <w:proofErr w:type="spellEnd"/>
      <w:r w:rsidRPr="00601812">
        <w:rPr>
          <w:rFonts w:asciiTheme="majorBidi" w:eastAsia="Calibri" w:hAnsiTheme="majorBidi" w:cs="Times New Roman"/>
          <w:sz w:val="24"/>
          <w:szCs w:val="24"/>
          <w:rtl/>
        </w:rPr>
        <w:t xml:space="preserve"> نتيجة لتجريدها الملحوظ وافتقارها إلى أسس تاريخية راسخة. ومع ذلك، يبدو أن كلا الطرفين مدعو إلى الاعتراف بمشروعية استيعاب منظور الآخر وإغناء حقل النقد من خلال هذا الحوار التكاملي.</w:t>
      </w:r>
    </w:p>
    <w:p w14:paraId="088F7A3D" w14:textId="77777777" w:rsidR="00D51387" w:rsidRDefault="00D51387" w:rsidP="00D51387">
      <w:pPr>
        <w:jc w:val="both"/>
        <w:rPr>
          <w:rFonts w:asciiTheme="majorBidi" w:eastAsia="Calibri" w:hAnsiTheme="majorBidi" w:cstheme="majorBidi"/>
          <w:sz w:val="24"/>
          <w:szCs w:val="24"/>
          <w:rtl/>
        </w:rPr>
      </w:pPr>
      <w:r w:rsidRPr="00601812">
        <w:rPr>
          <w:rFonts w:asciiTheme="majorBidi" w:eastAsia="Calibri" w:hAnsiTheme="majorBidi" w:cs="Times New Roman"/>
          <w:sz w:val="24"/>
          <w:szCs w:val="24"/>
          <w:rtl/>
        </w:rPr>
        <w:t xml:space="preserve">يقدم ويليام سيوِل تمييزًا مهمًا بين مفهوم "الوصف الكثيف" كما طرحه </w:t>
      </w:r>
      <w:proofErr w:type="spellStart"/>
      <w:r w:rsidRPr="00601812">
        <w:rPr>
          <w:rFonts w:asciiTheme="majorBidi" w:eastAsia="Calibri" w:hAnsiTheme="majorBidi" w:cs="Times New Roman"/>
          <w:sz w:val="24"/>
          <w:szCs w:val="24"/>
          <w:rtl/>
        </w:rPr>
        <w:t>كليفورد</w:t>
      </w:r>
      <w:proofErr w:type="spellEnd"/>
      <w:r w:rsidRPr="00601812">
        <w:rPr>
          <w:rFonts w:asciiTheme="majorBidi" w:eastAsia="Calibri" w:hAnsiTheme="majorBidi" w:cs="Times New Roman"/>
          <w:sz w:val="24"/>
          <w:szCs w:val="24"/>
          <w:rtl/>
        </w:rPr>
        <w:t xml:space="preserve"> </w:t>
      </w:r>
      <w:proofErr w:type="spellStart"/>
      <w:r w:rsidRPr="00601812">
        <w:rPr>
          <w:rFonts w:asciiTheme="majorBidi" w:eastAsia="Calibri" w:hAnsiTheme="majorBidi" w:cs="Times New Roman"/>
          <w:sz w:val="24"/>
          <w:szCs w:val="24"/>
          <w:rtl/>
        </w:rPr>
        <w:t>غيرتز</w:t>
      </w:r>
      <w:proofErr w:type="spellEnd"/>
      <w:r w:rsidRPr="00601812">
        <w:rPr>
          <w:rFonts w:asciiTheme="majorBidi" w:eastAsia="Calibri" w:hAnsiTheme="majorBidi" w:cs="Times New Roman"/>
          <w:sz w:val="24"/>
          <w:szCs w:val="24"/>
          <w:rtl/>
        </w:rPr>
        <w:t xml:space="preserve">، ومفهوم "الوصف الرقيق". فقد اتسم الاستشراق، بصفته امتدادًا لتفكير عصر التنوير، بتكوين رؤية مبالغة في التجانس وصياغة تصور جوهري للشرق قائم على افتراض وجود ماهيات ثابتة وأولية. في المقابل، يتيح تبني منظور يرى الثقافة على أنها ذات "تماسك ضعيف" تجاوز الإطار </w:t>
      </w:r>
      <w:proofErr w:type="spellStart"/>
      <w:r w:rsidRPr="00601812">
        <w:rPr>
          <w:rFonts w:asciiTheme="majorBidi" w:eastAsia="Calibri" w:hAnsiTheme="majorBidi" w:cs="Times New Roman"/>
          <w:sz w:val="24"/>
          <w:szCs w:val="24"/>
          <w:rtl/>
        </w:rPr>
        <w:t>الاستشراقي</w:t>
      </w:r>
      <w:proofErr w:type="spellEnd"/>
      <w:r w:rsidRPr="00601812">
        <w:rPr>
          <w:rFonts w:asciiTheme="majorBidi" w:eastAsia="Calibri" w:hAnsiTheme="majorBidi" w:cs="Times New Roman"/>
          <w:sz w:val="24"/>
          <w:szCs w:val="24"/>
          <w:rtl/>
        </w:rPr>
        <w:t xml:space="preserve"> التقليدي. كما يرتبط هذا المنظور بالتحولات التي أفرزها المنعطف اللغوي وممارسات التفكيك، التي تسلط الضوء على الطبيعة الجدلية وغير المستقرة لما يُعتبر حقائق أو يقينيات في النصوص والخطابات.</w:t>
      </w:r>
    </w:p>
    <w:p w14:paraId="03511CD4" w14:textId="4337BF5A" w:rsidR="00D51387" w:rsidRDefault="00D51387" w:rsidP="00D51387">
      <w:pPr>
        <w:jc w:val="both"/>
        <w:rPr>
          <w:rFonts w:asciiTheme="majorBidi" w:eastAsia="Calibri" w:hAnsiTheme="majorBidi" w:cstheme="majorBidi"/>
          <w:sz w:val="24"/>
          <w:szCs w:val="24"/>
          <w:rtl/>
        </w:rPr>
      </w:pPr>
      <w:r w:rsidRPr="00D1285A">
        <w:rPr>
          <w:rFonts w:asciiTheme="majorBidi" w:eastAsia="Calibri" w:hAnsiTheme="majorBidi" w:cs="Times New Roman"/>
          <w:sz w:val="24"/>
          <w:szCs w:val="24"/>
          <w:rtl/>
        </w:rPr>
        <w:t>يدعو الك</w:t>
      </w:r>
      <w:r w:rsidR="00132288">
        <w:rPr>
          <w:rFonts w:asciiTheme="majorBidi" w:eastAsia="Calibri" w:hAnsiTheme="majorBidi" w:cs="Times New Roman" w:hint="cs"/>
          <w:sz w:val="24"/>
          <w:szCs w:val="24"/>
          <w:rtl/>
        </w:rPr>
        <w:t>ُتّاب</w:t>
      </w:r>
      <w:r w:rsidRPr="00D1285A">
        <w:rPr>
          <w:rFonts w:asciiTheme="majorBidi" w:eastAsia="Calibri" w:hAnsiTheme="majorBidi" w:cs="Times New Roman"/>
          <w:sz w:val="24"/>
          <w:szCs w:val="24"/>
          <w:rtl/>
        </w:rPr>
        <w:t xml:space="preserve"> إلى إعادة النظر في موقع أوروبا ضمن السياق التاريخي العالمي، ليس فقط بهدف المضي قدمًا في نقد المركزية الأوروبية، بل لتجاوز الثنائية ذاتها بين "الغرب" و"البقية". فالحداثة، من منظور تاريخي عالمي، ليست ملكًا حصريًا لأوروبا، بل هي نتاج مشترك لتاريخ الإنسانية بأسرها، حيث تنوعت أشكالها الثقافية تبعًا لتجارب المجتمعات المختلفة. ومن هذا المنطلق، فإن إعادة التفكير في تاريخ الحداثة تتطلب تجاوز الصورة التقليدية التي تصور "الشرق" ككيان منفصل ومعارض للغرب، والاعتراف بسمات التفاعل والتداخل التي تطبع التاريخ الحديث للعالم.</w:t>
      </w:r>
    </w:p>
    <w:p w14:paraId="59CB9A00" w14:textId="77D9BAF2" w:rsidR="00D51387" w:rsidRDefault="00D51387" w:rsidP="00D51387">
      <w:pPr>
        <w:jc w:val="both"/>
        <w:rPr>
          <w:rFonts w:asciiTheme="majorBidi" w:eastAsia="Calibri" w:hAnsiTheme="majorBidi" w:cstheme="majorBidi"/>
          <w:sz w:val="24"/>
          <w:szCs w:val="24"/>
          <w:rtl/>
        </w:rPr>
      </w:pPr>
      <w:r w:rsidRPr="00227143">
        <w:rPr>
          <w:rFonts w:asciiTheme="majorBidi" w:eastAsia="Calibri" w:hAnsiTheme="majorBidi" w:cs="Times New Roman"/>
          <w:sz w:val="24"/>
          <w:szCs w:val="24"/>
          <w:rtl/>
        </w:rPr>
        <w:t>وفي الختام، يشدد الك</w:t>
      </w:r>
      <w:r w:rsidR="00026EF3">
        <w:rPr>
          <w:rFonts w:asciiTheme="majorBidi" w:eastAsia="Calibri" w:hAnsiTheme="majorBidi" w:cs="Times New Roman" w:hint="cs"/>
          <w:sz w:val="24"/>
          <w:szCs w:val="24"/>
          <w:rtl/>
        </w:rPr>
        <w:t>ُ</w:t>
      </w:r>
      <w:r w:rsidR="00132288">
        <w:rPr>
          <w:rFonts w:asciiTheme="majorBidi" w:eastAsia="Calibri" w:hAnsiTheme="majorBidi" w:cs="Times New Roman" w:hint="cs"/>
          <w:sz w:val="24"/>
          <w:szCs w:val="24"/>
          <w:rtl/>
        </w:rPr>
        <w:t>تّاب</w:t>
      </w:r>
      <w:r w:rsidRPr="00227143">
        <w:rPr>
          <w:rFonts w:asciiTheme="majorBidi" w:eastAsia="Calibri" w:hAnsiTheme="majorBidi" w:cs="Times New Roman"/>
          <w:sz w:val="24"/>
          <w:szCs w:val="24"/>
          <w:rtl/>
        </w:rPr>
        <w:t xml:space="preserve"> على أن نقد الاستشراق لا يقتصر على كيفية تمثيل "الآخر غير الغربي"، بل يشمل أيضًا الطريقة التي شكّل بها الغرب تصوره عن نفسه. فكما قام الغرب بممارسة "استشراق للآخر"، فقد انخرط أيضًا فيما يمكن وصفه بـ "الاستشراق الذاتي"، مما حال دون إدراكه لتنوعه الداخلي وتاريخه المعقد. ومن هنا تظهر الضرورة، ليس لمزيد من التنظير المجرّد، بل لتوثيق أعمق وأكثر دقة لكل من الاستشراق والحداثة ضمن سياق التاريخ العالمي.</w:t>
      </w:r>
    </w:p>
    <w:p w14:paraId="76E5E061" w14:textId="6BDDDCDA" w:rsidR="00173D32" w:rsidRDefault="00173D32" w:rsidP="00D51387">
      <w:pPr>
        <w:jc w:val="both"/>
        <w:rPr>
          <w:rFonts w:asciiTheme="majorBidi" w:eastAsia="Calibri" w:hAnsiTheme="majorBidi" w:cstheme="majorBidi"/>
          <w:sz w:val="24"/>
          <w:szCs w:val="24"/>
          <w:rtl/>
        </w:rPr>
      </w:pPr>
    </w:p>
    <w:p w14:paraId="396E7B86" w14:textId="5E85A5E9" w:rsidR="00173D32" w:rsidRDefault="00173D32" w:rsidP="00D51387">
      <w:pPr>
        <w:jc w:val="both"/>
        <w:rPr>
          <w:rFonts w:asciiTheme="majorBidi" w:eastAsia="Calibri" w:hAnsiTheme="majorBidi" w:cstheme="majorBidi"/>
          <w:sz w:val="24"/>
          <w:szCs w:val="24"/>
          <w:rtl/>
        </w:rPr>
      </w:pPr>
    </w:p>
    <w:p w14:paraId="483ABA81" w14:textId="1011BF0F" w:rsidR="00173D32" w:rsidRDefault="00173D32" w:rsidP="00D51387">
      <w:pPr>
        <w:jc w:val="both"/>
        <w:rPr>
          <w:rFonts w:asciiTheme="majorBidi" w:eastAsia="Calibri" w:hAnsiTheme="majorBidi" w:cstheme="majorBidi"/>
          <w:sz w:val="24"/>
          <w:szCs w:val="24"/>
          <w:rtl/>
        </w:rPr>
      </w:pPr>
    </w:p>
    <w:p w14:paraId="2C1657B0" w14:textId="77777777" w:rsidR="00173D32" w:rsidRPr="0073605A" w:rsidRDefault="00173D32" w:rsidP="00173D32">
      <w:pPr>
        <w:rPr>
          <w:rFonts w:asciiTheme="majorBidi" w:hAnsiTheme="majorBidi" w:cstheme="majorBidi"/>
          <w:b/>
          <w:bCs/>
          <w:sz w:val="20"/>
          <w:szCs w:val="20"/>
          <w:lang w:bidi="fa-IR"/>
        </w:rPr>
      </w:pPr>
      <w:r w:rsidRPr="0073605A">
        <w:rPr>
          <w:rFonts w:asciiTheme="majorBidi" w:hAnsiTheme="majorBidi" w:cs="Times New Roman"/>
          <w:b/>
          <w:bCs/>
          <w:sz w:val="28"/>
          <w:szCs w:val="28"/>
          <w:rtl/>
        </w:rPr>
        <w:t>ردّ سعيد على الانتقادات والخلاصة</w:t>
      </w:r>
      <w:r>
        <w:rPr>
          <w:rFonts w:asciiTheme="majorBidi" w:hAnsiTheme="majorBidi" w:cstheme="majorBidi" w:hint="cs"/>
          <w:b/>
          <w:bCs/>
          <w:sz w:val="28"/>
          <w:szCs w:val="28"/>
          <w:rtl/>
        </w:rPr>
        <w:t xml:space="preserve"> </w:t>
      </w:r>
      <w:r w:rsidRPr="005627F0">
        <w:rPr>
          <w:rFonts w:asciiTheme="majorBidi" w:hAnsiTheme="majorBidi" w:cstheme="majorBidi"/>
          <w:b/>
          <w:bCs/>
          <w:lang w:bidi="fa-IR"/>
        </w:rPr>
        <w:t>(Said’s response to criticism and concluding remarks)</w:t>
      </w:r>
    </w:p>
    <w:p w14:paraId="702EC20B" w14:textId="77777777" w:rsidR="00173D32" w:rsidRDefault="00173D32" w:rsidP="00173D32">
      <w:pPr>
        <w:rPr>
          <w:rFonts w:asciiTheme="majorBidi" w:eastAsia="Calibri" w:hAnsiTheme="majorBidi" w:cstheme="majorBidi"/>
          <w:sz w:val="24"/>
          <w:szCs w:val="24"/>
          <w:rtl/>
        </w:rPr>
      </w:pPr>
    </w:p>
    <w:p w14:paraId="4CD7084C" w14:textId="77777777" w:rsidR="00173D32" w:rsidRDefault="00173D32" w:rsidP="00173D32">
      <w:pPr>
        <w:jc w:val="both"/>
        <w:rPr>
          <w:rFonts w:asciiTheme="majorBidi" w:hAnsiTheme="majorBidi" w:cstheme="majorBidi"/>
          <w:sz w:val="24"/>
          <w:szCs w:val="24"/>
          <w:rtl/>
        </w:rPr>
      </w:pPr>
      <w:r w:rsidRPr="0073605A">
        <w:rPr>
          <w:rFonts w:asciiTheme="majorBidi" w:hAnsiTheme="majorBidi" w:cs="Times New Roman"/>
          <w:sz w:val="24"/>
          <w:szCs w:val="24"/>
          <w:rtl/>
        </w:rPr>
        <w:t xml:space="preserve">رأى عدد من النقّاد أنّ كتاب الاستشراق مثّل عائقًا أمام إمكان الانخراط في علاقة مع </w:t>
      </w:r>
      <w:r w:rsidRPr="005627F0">
        <w:rPr>
          <w:rFonts w:asciiTheme="majorBidi" w:hAnsiTheme="majorBidi" w:cs="Times New Roman"/>
          <w:sz w:val="24"/>
          <w:szCs w:val="24"/>
          <w:rtl/>
        </w:rPr>
        <w:t>«الآخر»</w:t>
      </w:r>
      <w:r w:rsidRPr="0073605A">
        <w:rPr>
          <w:rFonts w:asciiTheme="majorBidi" w:hAnsiTheme="majorBidi" w:cs="Times New Roman"/>
          <w:sz w:val="24"/>
          <w:szCs w:val="24"/>
          <w:rtl/>
        </w:rPr>
        <w:t xml:space="preserve"> دون الوقوع في ثنائيات الاستشراق الصارمة. ومع تصاعد الانتقادات الموجّهة إلى النزعة الإقصائية الكامنة في الاستشراق، يقرّ سعيد</w:t>
      </w:r>
      <w:r>
        <w:rPr>
          <w:rFonts w:asciiTheme="majorBidi" w:hAnsiTheme="majorBidi" w:cs="Times New Roman" w:hint="cs"/>
          <w:sz w:val="24"/>
          <w:szCs w:val="24"/>
          <w:rtl/>
        </w:rPr>
        <w:t xml:space="preserve">، </w:t>
      </w:r>
      <w:r w:rsidRPr="0073605A">
        <w:rPr>
          <w:rFonts w:asciiTheme="majorBidi" w:hAnsiTheme="majorBidi" w:cs="Times New Roman"/>
          <w:sz w:val="24"/>
          <w:szCs w:val="24"/>
          <w:rtl/>
        </w:rPr>
        <w:t>في ردوده</w:t>
      </w:r>
      <w:r>
        <w:rPr>
          <w:rFonts w:asciiTheme="majorBidi" w:hAnsiTheme="majorBidi" w:cs="Times New Roman" w:hint="cs"/>
          <w:sz w:val="24"/>
          <w:szCs w:val="24"/>
          <w:rtl/>
        </w:rPr>
        <w:t xml:space="preserve">، </w:t>
      </w:r>
      <w:r w:rsidRPr="0073605A">
        <w:rPr>
          <w:rFonts w:asciiTheme="majorBidi" w:hAnsiTheme="majorBidi" w:cs="Times New Roman"/>
          <w:sz w:val="24"/>
          <w:szCs w:val="24"/>
          <w:rtl/>
        </w:rPr>
        <w:t xml:space="preserve">بأنّ إزالة ثنائيات </w:t>
      </w:r>
      <w:r w:rsidRPr="005627F0">
        <w:rPr>
          <w:rFonts w:asciiTheme="majorBidi" w:hAnsiTheme="majorBidi" w:cs="Times New Roman"/>
          <w:sz w:val="24"/>
          <w:szCs w:val="24"/>
          <w:rtl/>
        </w:rPr>
        <w:t xml:space="preserve">«نحن» </w:t>
      </w:r>
      <w:r w:rsidRPr="005627F0">
        <w:rPr>
          <w:rFonts w:asciiTheme="majorBidi" w:hAnsiTheme="majorBidi" w:cs="Times New Roman" w:hint="cs"/>
          <w:sz w:val="24"/>
          <w:szCs w:val="24"/>
          <w:rtl/>
        </w:rPr>
        <w:t xml:space="preserve">و </w:t>
      </w:r>
      <w:r w:rsidRPr="005627F0">
        <w:rPr>
          <w:rFonts w:asciiTheme="majorBidi" w:hAnsiTheme="majorBidi" w:cs="Times New Roman"/>
          <w:sz w:val="24"/>
          <w:szCs w:val="24"/>
          <w:rtl/>
        </w:rPr>
        <w:t>«هم»</w:t>
      </w:r>
      <w:r w:rsidRPr="0073605A">
        <w:rPr>
          <w:rFonts w:asciiTheme="majorBidi" w:hAnsiTheme="majorBidi" w:cs="Times New Roman"/>
          <w:sz w:val="24"/>
          <w:szCs w:val="24"/>
          <w:rtl/>
        </w:rPr>
        <w:t xml:space="preserve"> لا تعني بالضرورة التخلّص من جميع أشكال التقسيم؛ إذ سرعان ما تحلّ محلّها </w:t>
      </w:r>
      <w:proofErr w:type="spellStart"/>
      <w:r w:rsidRPr="0073605A">
        <w:rPr>
          <w:rFonts w:asciiTheme="majorBidi" w:hAnsiTheme="majorBidi" w:cs="Times New Roman"/>
          <w:sz w:val="24"/>
          <w:szCs w:val="24"/>
          <w:rtl/>
        </w:rPr>
        <w:t>تم</w:t>
      </w:r>
      <w:r>
        <w:rPr>
          <w:rFonts w:asciiTheme="majorBidi" w:hAnsiTheme="majorBidi" w:cs="Times New Roman" w:hint="cs"/>
          <w:sz w:val="24"/>
          <w:szCs w:val="24"/>
          <w:rtl/>
        </w:rPr>
        <w:t>يي</w:t>
      </w:r>
      <w:r w:rsidRPr="0073605A">
        <w:rPr>
          <w:rFonts w:asciiTheme="majorBidi" w:hAnsiTheme="majorBidi" w:cs="Times New Roman"/>
          <w:sz w:val="24"/>
          <w:szCs w:val="24"/>
          <w:rtl/>
        </w:rPr>
        <w:t>زات</w:t>
      </w:r>
      <w:proofErr w:type="spellEnd"/>
      <w:r w:rsidRPr="0073605A">
        <w:rPr>
          <w:rFonts w:asciiTheme="majorBidi" w:hAnsiTheme="majorBidi" w:cs="Times New Roman"/>
          <w:sz w:val="24"/>
          <w:szCs w:val="24"/>
          <w:rtl/>
        </w:rPr>
        <w:t xml:space="preserve"> أخرى مثل شرق/غرب، شمال/جنوب، يملك/لا يملك، وغيرها. ويرى أنّ افتراض عدم وجود هذه الثنائيات أصلًا افتراض غير منتج.</w:t>
      </w:r>
    </w:p>
    <w:p w14:paraId="70661F74" w14:textId="77777777" w:rsidR="00173D32" w:rsidRDefault="00173D32" w:rsidP="00173D32">
      <w:pPr>
        <w:jc w:val="both"/>
        <w:rPr>
          <w:rFonts w:asciiTheme="majorBidi" w:hAnsiTheme="majorBidi" w:cstheme="majorBidi"/>
          <w:sz w:val="24"/>
          <w:szCs w:val="24"/>
          <w:rtl/>
        </w:rPr>
      </w:pPr>
      <w:r w:rsidRPr="0063064B">
        <w:rPr>
          <w:rFonts w:asciiTheme="majorBidi" w:hAnsiTheme="majorBidi" w:cstheme="majorBidi"/>
          <w:sz w:val="24"/>
          <w:szCs w:val="24"/>
          <w:rtl/>
        </w:rPr>
        <w:t xml:space="preserve">وفي هذا السياق، يتساءل روبرت يونغ، في كتابه </w:t>
      </w:r>
      <w:r w:rsidRPr="007D21F3">
        <w:rPr>
          <w:rFonts w:asciiTheme="majorBidi" w:hAnsiTheme="majorBidi" w:cstheme="majorBidi"/>
          <w:i/>
          <w:iCs/>
          <w:sz w:val="24"/>
          <w:szCs w:val="24"/>
          <w:rtl/>
        </w:rPr>
        <w:t>الأساطير البيضاء (</w:t>
      </w:r>
      <w:r w:rsidRPr="007D21F3">
        <w:rPr>
          <w:rFonts w:asciiTheme="majorBidi" w:hAnsiTheme="majorBidi" w:cstheme="majorBidi"/>
          <w:i/>
          <w:iCs/>
          <w:sz w:val="24"/>
          <w:szCs w:val="24"/>
        </w:rPr>
        <w:t>White Mythologies</w:t>
      </w:r>
      <w:r w:rsidRPr="007D21F3">
        <w:rPr>
          <w:rFonts w:asciiTheme="majorBidi" w:hAnsiTheme="majorBidi" w:cstheme="majorBidi"/>
          <w:i/>
          <w:iCs/>
          <w:sz w:val="24"/>
          <w:szCs w:val="24"/>
          <w:rtl/>
        </w:rPr>
        <w:t>)،</w:t>
      </w:r>
      <w:r w:rsidRPr="0063064B">
        <w:rPr>
          <w:rFonts w:asciiTheme="majorBidi" w:hAnsiTheme="majorBidi" w:cstheme="majorBidi"/>
          <w:sz w:val="24"/>
          <w:szCs w:val="24"/>
          <w:rtl/>
        </w:rPr>
        <w:t xml:space="preserve"> عن محدودية مشروع سعيد النقدي، ولا سيما فيما يتعلّق بغياب بدائل واضحة للظاهرة التي ينتقدها. ويطرح سؤالًا جوهريًا: كيف يمكن لسعيد أن يفصل نفسه عن </w:t>
      </w:r>
      <w:r w:rsidRPr="007D21F3">
        <w:rPr>
          <w:rFonts w:asciiTheme="majorBidi" w:hAnsiTheme="majorBidi" w:cstheme="majorBidi"/>
          <w:sz w:val="24"/>
          <w:szCs w:val="24"/>
          <w:rtl/>
        </w:rPr>
        <w:t>«البُنى القسرية للمعرفة»</w:t>
      </w:r>
      <w:r w:rsidRPr="0063064B">
        <w:rPr>
          <w:rFonts w:asciiTheme="majorBidi" w:hAnsiTheme="majorBidi" w:cstheme="majorBidi"/>
          <w:sz w:val="24"/>
          <w:szCs w:val="24"/>
          <w:rtl/>
        </w:rPr>
        <w:t xml:space="preserve"> التي يصفها، في حين أنّ تعليمه وتدريسه وإقامته في الغرب جعلته جزءًا من الخطاب ذاته الذي ينتقده؟ </w:t>
      </w:r>
      <w:r w:rsidRPr="007D21F3">
        <w:rPr>
          <w:rFonts w:asciiTheme="majorBidi" w:hAnsiTheme="majorBidi" w:cstheme="majorBidi"/>
          <w:i/>
          <w:iCs/>
          <w:rtl/>
        </w:rPr>
        <w:t>(يونغ، 1990: 127)</w:t>
      </w:r>
      <w:r w:rsidRPr="0063064B">
        <w:rPr>
          <w:rFonts w:asciiTheme="majorBidi" w:hAnsiTheme="majorBidi" w:cstheme="majorBidi"/>
          <w:sz w:val="24"/>
          <w:szCs w:val="24"/>
          <w:rtl/>
        </w:rPr>
        <w:t>. ويرى يونغ أنّه إذا أمكن لسعيد أن يتحرّك</w:t>
      </w:r>
      <w:r>
        <w:rPr>
          <w:rFonts w:asciiTheme="majorBidi" w:hAnsiTheme="majorBidi" w:cstheme="majorBidi" w:hint="cs"/>
          <w:sz w:val="24"/>
          <w:szCs w:val="24"/>
          <w:rtl/>
        </w:rPr>
        <w:t xml:space="preserve"> </w:t>
      </w:r>
      <w:r w:rsidRPr="0063064B">
        <w:rPr>
          <w:rFonts w:asciiTheme="majorBidi" w:hAnsiTheme="majorBidi" w:cstheme="majorBidi"/>
          <w:sz w:val="24"/>
          <w:szCs w:val="24"/>
          <w:rtl/>
        </w:rPr>
        <w:t>خطابيًا</w:t>
      </w:r>
      <w:r>
        <w:rPr>
          <w:rFonts w:asciiTheme="majorBidi" w:hAnsiTheme="majorBidi" w:cstheme="majorBidi" w:hint="cs"/>
          <w:sz w:val="24"/>
          <w:szCs w:val="24"/>
          <w:rtl/>
        </w:rPr>
        <w:t xml:space="preserve"> </w:t>
      </w:r>
      <w:r w:rsidRPr="0063064B">
        <w:rPr>
          <w:rFonts w:asciiTheme="majorBidi" w:hAnsiTheme="majorBidi" w:cstheme="majorBidi"/>
          <w:sz w:val="24"/>
          <w:szCs w:val="24"/>
          <w:rtl/>
        </w:rPr>
        <w:t xml:space="preserve">خارج هذه القيود، فإنّ ذلك يفتح المجال أمام كتّاب آخرين للقيام بالأمر نفسه. وبعد موجة الانتقادات الحادّة التي أعقبت أحداث الحادي عشر من سبتمبر، عاد سعيد في مقدّمة طبعة 2003 من الاستشراق ليؤكّد أنّ المعارضة الثنائية بين </w:t>
      </w:r>
      <w:r w:rsidRPr="007D21F3">
        <w:rPr>
          <w:rFonts w:asciiTheme="majorBidi" w:hAnsiTheme="majorBidi" w:cstheme="majorBidi"/>
          <w:sz w:val="24"/>
          <w:szCs w:val="24"/>
          <w:rtl/>
        </w:rPr>
        <w:t>«نحن» و</w:t>
      </w:r>
      <w:r w:rsidRPr="007D21F3">
        <w:rPr>
          <w:rFonts w:asciiTheme="majorBidi" w:hAnsiTheme="majorBidi" w:cstheme="majorBidi" w:hint="cs"/>
          <w:sz w:val="24"/>
          <w:szCs w:val="24"/>
          <w:rtl/>
        </w:rPr>
        <w:t xml:space="preserve"> </w:t>
      </w:r>
      <w:r w:rsidRPr="007D21F3">
        <w:rPr>
          <w:rFonts w:asciiTheme="majorBidi" w:hAnsiTheme="majorBidi" w:cstheme="majorBidi"/>
          <w:sz w:val="24"/>
          <w:szCs w:val="24"/>
          <w:rtl/>
        </w:rPr>
        <w:t>«هم»</w:t>
      </w:r>
      <w:r w:rsidRPr="0063064B">
        <w:rPr>
          <w:rFonts w:asciiTheme="majorBidi" w:hAnsiTheme="majorBidi" w:cstheme="majorBidi"/>
          <w:sz w:val="24"/>
          <w:szCs w:val="24"/>
          <w:rtl/>
        </w:rPr>
        <w:t xml:space="preserve"> لم تختفِ في الغرب بعد الحرب الباردة أو حرب الخليج الأولى، بل «تعزّزت وتعمّقت وتصلّبت» </w:t>
      </w:r>
      <w:r w:rsidRPr="007D21F3">
        <w:rPr>
          <w:rFonts w:asciiTheme="majorBidi" w:hAnsiTheme="majorBidi" w:cstheme="majorBidi"/>
          <w:i/>
          <w:iCs/>
          <w:rtl/>
        </w:rPr>
        <w:t xml:space="preserve">(سعيد، 2003: 334–335). </w:t>
      </w:r>
      <w:r w:rsidRPr="0063064B">
        <w:rPr>
          <w:rFonts w:asciiTheme="majorBidi" w:hAnsiTheme="majorBidi" w:cstheme="majorBidi"/>
          <w:sz w:val="24"/>
          <w:szCs w:val="24"/>
          <w:rtl/>
        </w:rPr>
        <w:t>ومع ذلك، يؤكّد سعيد أنّ للاستشراق بدائل ممكنة، تتمثّل في استراتيجيات فكرية وأخلاقية اقترحها في أعماله اللاحقة.</w:t>
      </w:r>
    </w:p>
    <w:p w14:paraId="18D188CC" w14:textId="77777777" w:rsidR="00173D32" w:rsidRPr="007D21F3" w:rsidRDefault="00173D32" w:rsidP="00173D32">
      <w:pPr>
        <w:jc w:val="both"/>
        <w:rPr>
          <w:rFonts w:asciiTheme="majorBidi" w:hAnsiTheme="majorBidi" w:cstheme="majorBidi"/>
          <w:i/>
          <w:iCs/>
          <w:rtl/>
        </w:rPr>
      </w:pPr>
      <w:r w:rsidRPr="007D21F3">
        <w:rPr>
          <w:rFonts w:asciiTheme="majorBidi" w:hAnsiTheme="majorBidi" w:cstheme="majorBidi"/>
          <w:sz w:val="24"/>
          <w:szCs w:val="24"/>
          <w:rtl/>
        </w:rPr>
        <w:t>فلم يكن هدف سعيد، كما يصرّح، تكريس «العداء بين كتلتين سياسيتين وثقافيتين متجانستين»، بل السعي إلى تقليل الآثار المدمّرة لهذا الخطاب. ويعبّر عن ارتياحه لأنّ قرّاء الكتاب في الولايات المتحدة وبريطانيا وأفريقيا الناطقة بالإنجليزية وآسيا وأستراليا ومنطقة الكاريبي قرأوا الاستشراق بوصفه دعوة إلى التعدّدية الثقافية لا إلى كراهي</w:t>
      </w:r>
      <w:r w:rsidRPr="007D21F3">
        <w:rPr>
          <w:rFonts w:asciiTheme="majorBidi" w:hAnsiTheme="majorBidi" w:cstheme="majorBidi" w:hint="cs"/>
          <w:sz w:val="24"/>
          <w:szCs w:val="24"/>
          <w:rtl/>
        </w:rPr>
        <w:t>ّ</w:t>
      </w:r>
      <w:r w:rsidRPr="007D21F3">
        <w:rPr>
          <w:rFonts w:asciiTheme="majorBidi" w:hAnsiTheme="majorBidi" w:cstheme="majorBidi"/>
          <w:sz w:val="24"/>
          <w:szCs w:val="24"/>
          <w:rtl/>
        </w:rPr>
        <w:t xml:space="preserve">ة الأجانب أو القومية العدوانية القائمة على العِرق </w:t>
      </w:r>
      <w:r w:rsidRPr="007D21F3">
        <w:rPr>
          <w:rFonts w:asciiTheme="majorBidi" w:hAnsiTheme="majorBidi" w:cstheme="majorBidi"/>
          <w:i/>
          <w:iCs/>
          <w:rtl/>
        </w:rPr>
        <w:t>(سعيد، 2003: 335).</w:t>
      </w:r>
    </w:p>
    <w:p w14:paraId="3979C410" w14:textId="77777777" w:rsidR="00173D32" w:rsidRPr="007D21F3" w:rsidRDefault="00173D32" w:rsidP="00173D32">
      <w:pPr>
        <w:jc w:val="both"/>
        <w:rPr>
          <w:rFonts w:asciiTheme="majorBidi" w:hAnsiTheme="majorBidi" w:cstheme="majorBidi"/>
          <w:sz w:val="24"/>
          <w:szCs w:val="24"/>
          <w:rtl/>
        </w:rPr>
      </w:pPr>
      <w:r w:rsidRPr="007D21F3">
        <w:rPr>
          <w:rFonts w:asciiTheme="majorBidi" w:hAnsiTheme="majorBidi" w:cstheme="majorBidi"/>
          <w:sz w:val="24"/>
          <w:szCs w:val="24"/>
          <w:rtl/>
        </w:rPr>
        <w:t xml:space="preserve">ويدعو سعيد إلى الإنسانيّة بوصفها «آخر أشكال المقاومة المتاحة لنا في وجه الممارسات </w:t>
      </w:r>
      <w:proofErr w:type="spellStart"/>
      <w:r w:rsidRPr="007D21F3">
        <w:rPr>
          <w:rFonts w:asciiTheme="majorBidi" w:hAnsiTheme="majorBidi" w:cstheme="majorBidi"/>
          <w:sz w:val="24"/>
          <w:szCs w:val="24"/>
          <w:rtl/>
        </w:rPr>
        <w:t>اللاؖنسانية</w:t>
      </w:r>
      <w:proofErr w:type="spellEnd"/>
      <w:r w:rsidRPr="007D21F3">
        <w:rPr>
          <w:rFonts w:asciiTheme="majorBidi" w:hAnsiTheme="majorBidi" w:cstheme="majorBidi"/>
          <w:sz w:val="24"/>
          <w:szCs w:val="24"/>
          <w:rtl/>
        </w:rPr>
        <w:t xml:space="preserve"> والظلم الذي يشوّه التاريخ البشري» </w:t>
      </w:r>
      <w:r w:rsidRPr="007D21F3">
        <w:rPr>
          <w:rFonts w:asciiTheme="majorBidi" w:hAnsiTheme="majorBidi" w:cstheme="majorBidi"/>
          <w:i/>
          <w:iCs/>
          <w:rtl/>
        </w:rPr>
        <w:t>(سعيد، 2003).</w:t>
      </w:r>
      <w:r w:rsidRPr="007D21F3">
        <w:rPr>
          <w:rFonts w:asciiTheme="majorBidi" w:hAnsiTheme="majorBidi" w:cstheme="majorBidi"/>
          <w:rtl/>
        </w:rPr>
        <w:t xml:space="preserve"> </w:t>
      </w:r>
      <w:r w:rsidRPr="007D21F3">
        <w:rPr>
          <w:rFonts w:asciiTheme="majorBidi" w:hAnsiTheme="majorBidi" w:cstheme="majorBidi"/>
          <w:sz w:val="24"/>
          <w:szCs w:val="24"/>
          <w:rtl/>
        </w:rPr>
        <w:t xml:space="preserve">وبدلًا من الاستناد إلى فكرة «صدام الحضارات» المصنّعة، يدعو إلى «تعاون بطيء ومتدرّج بين الثقافات المتداخلة، التي تتبادل التأثير وتعيش معًا بطرائق أكثر ثراءً وتعقيدًا مما تسمح به أنماط الفهم المختزلة وغير الأصيلة» </w:t>
      </w:r>
      <w:r w:rsidRPr="007D21F3">
        <w:rPr>
          <w:rFonts w:asciiTheme="majorBidi" w:hAnsiTheme="majorBidi" w:cstheme="majorBidi"/>
          <w:i/>
          <w:iCs/>
          <w:rtl/>
        </w:rPr>
        <w:t>(سعيد، 2003).</w:t>
      </w:r>
    </w:p>
    <w:p w14:paraId="13DB4DE9" w14:textId="7D3ACC5B" w:rsidR="00173D32" w:rsidRDefault="00173D32" w:rsidP="00D51387">
      <w:pPr>
        <w:jc w:val="both"/>
        <w:rPr>
          <w:rFonts w:asciiTheme="majorBidi" w:eastAsia="Calibri" w:hAnsiTheme="majorBidi" w:cstheme="majorBidi"/>
          <w:sz w:val="24"/>
          <w:szCs w:val="24"/>
          <w:rtl/>
        </w:rPr>
      </w:pPr>
    </w:p>
    <w:p w14:paraId="53BEC2DB" w14:textId="584638E1" w:rsidR="00173D32" w:rsidRDefault="00173D32" w:rsidP="00D51387">
      <w:pPr>
        <w:jc w:val="both"/>
        <w:rPr>
          <w:rFonts w:asciiTheme="majorBidi" w:eastAsia="Calibri" w:hAnsiTheme="majorBidi" w:cstheme="majorBidi"/>
          <w:sz w:val="24"/>
          <w:szCs w:val="24"/>
          <w:rtl/>
        </w:rPr>
      </w:pPr>
    </w:p>
    <w:p w14:paraId="1900EA1B" w14:textId="5321C388" w:rsidR="00173D32" w:rsidRDefault="00173D32" w:rsidP="00D51387">
      <w:pPr>
        <w:jc w:val="both"/>
        <w:rPr>
          <w:rFonts w:asciiTheme="majorBidi" w:eastAsia="Calibri" w:hAnsiTheme="majorBidi" w:cstheme="majorBidi"/>
          <w:sz w:val="24"/>
          <w:szCs w:val="24"/>
          <w:rtl/>
        </w:rPr>
      </w:pPr>
    </w:p>
    <w:p w14:paraId="51571B50" w14:textId="15BF9CEA" w:rsidR="00173D32" w:rsidRDefault="00173D32" w:rsidP="00D51387">
      <w:pPr>
        <w:jc w:val="both"/>
        <w:rPr>
          <w:rFonts w:asciiTheme="majorBidi" w:eastAsia="Calibri" w:hAnsiTheme="majorBidi" w:cstheme="majorBidi"/>
          <w:sz w:val="24"/>
          <w:szCs w:val="24"/>
          <w:rtl/>
        </w:rPr>
      </w:pPr>
    </w:p>
    <w:p w14:paraId="72F3701B" w14:textId="0020B75F" w:rsidR="00173D32" w:rsidRDefault="00173D32" w:rsidP="00D51387">
      <w:pPr>
        <w:jc w:val="both"/>
        <w:rPr>
          <w:rFonts w:asciiTheme="majorBidi" w:eastAsia="Calibri" w:hAnsiTheme="majorBidi" w:cstheme="majorBidi"/>
          <w:sz w:val="24"/>
          <w:szCs w:val="24"/>
          <w:rtl/>
        </w:rPr>
      </w:pPr>
    </w:p>
    <w:p w14:paraId="022758DC" w14:textId="3A889CE2" w:rsidR="00173D32" w:rsidRDefault="00173D32" w:rsidP="00D51387">
      <w:pPr>
        <w:jc w:val="both"/>
        <w:rPr>
          <w:rFonts w:asciiTheme="majorBidi" w:eastAsia="Calibri" w:hAnsiTheme="majorBidi" w:cstheme="majorBidi"/>
          <w:sz w:val="24"/>
          <w:szCs w:val="24"/>
          <w:rtl/>
        </w:rPr>
      </w:pPr>
    </w:p>
    <w:p w14:paraId="25F74B5B" w14:textId="1B129DA1" w:rsidR="00173D32" w:rsidRDefault="00173D32" w:rsidP="00D51387">
      <w:pPr>
        <w:jc w:val="both"/>
        <w:rPr>
          <w:rFonts w:asciiTheme="majorBidi" w:eastAsia="Calibri" w:hAnsiTheme="majorBidi" w:cstheme="majorBidi"/>
          <w:sz w:val="24"/>
          <w:szCs w:val="24"/>
          <w:rtl/>
        </w:rPr>
      </w:pPr>
    </w:p>
    <w:p w14:paraId="3435EC7A" w14:textId="13BDC6A3" w:rsidR="00173D32" w:rsidRDefault="00173D32" w:rsidP="00D51387">
      <w:pPr>
        <w:jc w:val="both"/>
        <w:rPr>
          <w:rFonts w:asciiTheme="majorBidi" w:eastAsia="Calibri" w:hAnsiTheme="majorBidi" w:cstheme="majorBidi"/>
          <w:sz w:val="24"/>
          <w:szCs w:val="24"/>
          <w:rtl/>
        </w:rPr>
      </w:pPr>
    </w:p>
    <w:p w14:paraId="727A052C" w14:textId="4E255E65" w:rsidR="00173D32" w:rsidRDefault="00173D32" w:rsidP="00D51387">
      <w:pPr>
        <w:jc w:val="both"/>
        <w:rPr>
          <w:rFonts w:asciiTheme="majorBidi" w:eastAsia="Calibri" w:hAnsiTheme="majorBidi" w:cstheme="majorBidi"/>
          <w:sz w:val="24"/>
          <w:szCs w:val="24"/>
          <w:rtl/>
        </w:rPr>
      </w:pPr>
    </w:p>
    <w:p w14:paraId="0AA33AD0" w14:textId="3313E32D" w:rsidR="00173D32" w:rsidRDefault="00173D32" w:rsidP="00D51387">
      <w:pPr>
        <w:jc w:val="both"/>
        <w:rPr>
          <w:rFonts w:asciiTheme="majorBidi" w:eastAsia="Calibri" w:hAnsiTheme="majorBidi" w:cstheme="majorBidi"/>
          <w:sz w:val="24"/>
          <w:szCs w:val="24"/>
          <w:rtl/>
        </w:rPr>
      </w:pPr>
    </w:p>
    <w:p w14:paraId="31D990A2" w14:textId="77777777" w:rsidR="00173D32" w:rsidRDefault="00173D32" w:rsidP="00D51387">
      <w:pPr>
        <w:jc w:val="both"/>
        <w:rPr>
          <w:rFonts w:asciiTheme="majorBidi" w:eastAsia="Calibri" w:hAnsiTheme="majorBidi" w:cstheme="majorBidi"/>
          <w:sz w:val="24"/>
          <w:szCs w:val="24"/>
          <w:rtl/>
        </w:rPr>
      </w:pPr>
    </w:p>
    <w:p w14:paraId="24AFFAC6" w14:textId="613A7DF8" w:rsidR="00D51387" w:rsidRDefault="00D51387" w:rsidP="00D51387">
      <w:pPr>
        <w:jc w:val="both"/>
        <w:rPr>
          <w:rFonts w:asciiTheme="majorBidi" w:eastAsia="Calibri" w:hAnsiTheme="majorBidi" w:cstheme="majorBidi"/>
          <w:sz w:val="24"/>
          <w:szCs w:val="24"/>
          <w:rtl/>
        </w:rPr>
      </w:pPr>
    </w:p>
    <w:p w14:paraId="1BFF8057" w14:textId="33EB5D00" w:rsidR="00D51387" w:rsidRDefault="00D51387" w:rsidP="00D51387">
      <w:pPr>
        <w:jc w:val="both"/>
        <w:rPr>
          <w:rFonts w:asciiTheme="majorBidi" w:eastAsia="Calibri" w:hAnsiTheme="majorBidi" w:cstheme="majorBidi"/>
          <w:sz w:val="24"/>
          <w:szCs w:val="24"/>
          <w:rtl/>
        </w:rPr>
      </w:pPr>
    </w:p>
    <w:p w14:paraId="675BA935" w14:textId="427738C9" w:rsidR="00D51387" w:rsidRDefault="00D51387" w:rsidP="00D51387">
      <w:pPr>
        <w:jc w:val="both"/>
        <w:rPr>
          <w:rFonts w:asciiTheme="majorBidi" w:eastAsia="Calibri" w:hAnsiTheme="majorBidi" w:cstheme="majorBidi"/>
          <w:sz w:val="24"/>
          <w:szCs w:val="24"/>
          <w:rtl/>
        </w:rPr>
      </w:pPr>
    </w:p>
    <w:p w14:paraId="72CA4B63" w14:textId="13C80B98" w:rsidR="00D51387" w:rsidRDefault="002C6D4A" w:rsidP="002C6D4A">
      <w:pPr>
        <w:jc w:val="right"/>
        <w:rPr>
          <w:rFonts w:asciiTheme="majorBidi" w:eastAsia="Calibri" w:hAnsiTheme="majorBidi" w:cstheme="majorBidi"/>
          <w:b/>
          <w:bCs/>
          <w:sz w:val="32"/>
          <w:szCs w:val="32"/>
        </w:rPr>
      </w:pPr>
      <w:r>
        <w:rPr>
          <w:rFonts w:asciiTheme="majorBidi" w:eastAsia="Calibri" w:hAnsiTheme="majorBidi" w:cstheme="majorBidi" w:hint="cs"/>
          <w:b/>
          <w:bCs/>
          <w:noProof/>
          <w:sz w:val="32"/>
          <w:szCs w:val="32"/>
          <w:rtl/>
          <w:lang w:val="ar-SA"/>
        </w:rPr>
        <mc:AlternateContent>
          <mc:Choice Requires="wps">
            <w:drawing>
              <wp:anchor distT="0" distB="0" distL="114300" distR="114300" simplePos="0" relativeHeight="251662336" behindDoc="0" locked="0" layoutInCell="1" allowOverlap="1" wp14:anchorId="7C717A37" wp14:editId="48267FD6">
                <wp:simplePos x="0" y="0"/>
                <wp:positionH relativeFrom="column">
                  <wp:posOffset>-19050</wp:posOffset>
                </wp:positionH>
                <wp:positionV relativeFrom="paragraph">
                  <wp:posOffset>381000</wp:posOffset>
                </wp:positionV>
                <wp:extent cx="6210300" cy="0"/>
                <wp:effectExtent l="0" t="0" r="0" b="0"/>
                <wp:wrapNone/>
                <wp:docPr id="5" name="رابط مستقيم 5"/>
                <wp:cNvGraphicFramePr/>
                <a:graphic xmlns:a="http://schemas.openxmlformats.org/drawingml/2006/main">
                  <a:graphicData uri="http://schemas.microsoft.com/office/word/2010/wordprocessingShape">
                    <wps:wsp>
                      <wps:cNvCnPr/>
                      <wps:spPr>
                        <a:xfrm flipH="1">
                          <a:off x="0" y="0"/>
                          <a:ext cx="62103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9D89E93" id="رابط مستقيم 5" o:spid="_x0000_s1026" style="position:absolute;left:0;text-align:left;flip:x;z-index:251662336;visibility:visible;mso-wrap-style:square;mso-wrap-distance-left:9pt;mso-wrap-distance-top:0;mso-wrap-distance-right:9pt;mso-wrap-distance-bottom:0;mso-position-horizontal:absolute;mso-position-horizontal-relative:text;mso-position-vertical:absolute;mso-position-vertical-relative:text" from="-1.5pt,30pt" to="487.5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" strokecolor="black [3200]" strokeweight=".5pt">
                <v:stroke joinstyle="miter"/>
              </v:line>
            </w:pict>
          </mc:Fallback>
        </mc:AlternateContent>
      </w:r>
      <w:r>
        <w:rPr>
          <w:rFonts w:asciiTheme="majorBidi" w:eastAsia="Calibri" w:hAnsiTheme="majorBidi" w:cstheme="majorBidi" w:hint="cs"/>
          <w:b/>
          <w:bCs/>
          <w:sz w:val="32"/>
          <w:szCs w:val="32"/>
          <w:rtl/>
        </w:rPr>
        <w:t>المراجع:</w:t>
      </w:r>
      <w:r>
        <w:rPr>
          <w:rFonts w:asciiTheme="majorBidi" w:eastAsia="Calibri" w:hAnsiTheme="majorBidi" w:cstheme="majorBidi"/>
          <w:b/>
          <w:bCs/>
          <w:sz w:val="32"/>
          <w:szCs w:val="32"/>
        </w:rPr>
        <w:t xml:space="preserve">References:                                                                                             </w:t>
      </w:r>
    </w:p>
    <w:p w14:paraId="36BEF7FF"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Ahmad, A. (1992). In Theory: Classes, Nations, Literatures. London; New York: Verso.</w:t>
      </w:r>
    </w:p>
    <w:p w14:paraId="573CBE10"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Ahmad, A. (2000). “Between Orientalism and Historicism”. Orientalism: A Reader. Ed. A. L. Macfie.</w:t>
      </w:r>
    </w:p>
    <w:p w14:paraId="50545024"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Edinburg: Edinburgh University Press.</w:t>
      </w:r>
    </w:p>
    <w:p w14:paraId="4D93573C"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Al-Azm, S. J. (2000). “Orientalism and Orientalism in Reverse”. Orientalism: A Reader. Ed. A. L.</w:t>
      </w:r>
    </w:p>
    <w:p w14:paraId="288670B1"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Macfie. New York: New York University Press. p. 5-26.</w:t>
      </w:r>
    </w:p>
    <w:p w14:paraId="6D7D24B2" w14:textId="1FA7093F" w:rsidR="002C6D4A" w:rsidRPr="002C6D4A" w:rsidRDefault="002C6D4A" w:rsidP="00AF1502">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Al-Azm, S. J. (2005). “Islam, Terrorism, and the West.” Comparative Studies of South Asia, Africa and</w:t>
      </w:r>
      <w:r w:rsidR="00AF1502">
        <w:rPr>
          <w:rFonts w:asciiTheme="majorBidi" w:eastAsia="Calibri" w:hAnsiTheme="majorBidi" w:cstheme="majorBidi"/>
          <w:kern w:val="2"/>
          <w:sz w:val="24"/>
          <w:szCs w:val="24"/>
          <w:lang w:bidi="fa-IR"/>
          <w14:ligatures w14:val="standardContextual"/>
        </w:rPr>
        <w:t xml:space="preserve"> </w:t>
      </w:r>
      <w:r w:rsidRPr="002C6D4A">
        <w:rPr>
          <w:rFonts w:asciiTheme="majorBidi" w:eastAsia="Calibri" w:hAnsiTheme="majorBidi" w:cstheme="majorBidi"/>
          <w:kern w:val="2"/>
          <w:sz w:val="24"/>
          <w:szCs w:val="24"/>
          <w:lang w:bidi="fa-IR"/>
          <w14:ligatures w14:val="standardContextual"/>
        </w:rPr>
        <w:t>the Middle East 25.1: 6-15.</w:t>
      </w:r>
    </w:p>
    <w:p w14:paraId="74F5AB82"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Chatterjee, Kumkum and Clement Hawes. (2008). Europe Observed: Multiple Gazes in Early Modern</w:t>
      </w:r>
    </w:p>
    <w:p w14:paraId="0FC19B55"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 xml:space="preserve">Encounters. Lewisburg: </w:t>
      </w:r>
      <w:proofErr w:type="spellStart"/>
      <w:r w:rsidRPr="002C6D4A">
        <w:rPr>
          <w:rFonts w:asciiTheme="majorBidi" w:eastAsia="Calibri" w:hAnsiTheme="majorBidi" w:cstheme="majorBidi"/>
          <w:kern w:val="2"/>
          <w:sz w:val="24"/>
          <w:szCs w:val="24"/>
          <w:lang w:bidi="fa-IR"/>
          <w14:ligatures w14:val="standardContextual"/>
        </w:rPr>
        <w:t>Buckness</w:t>
      </w:r>
      <w:proofErr w:type="spellEnd"/>
      <w:r w:rsidRPr="002C6D4A">
        <w:rPr>
          <w:rFonts w:asciiTheme="majorBidi" w:eastAsia="Calibri" w:hAnsiTheme="majorBidi" w:cstheme="majorBidi"/>
          <w:kern w:val="2"/>
          <w:sz w:val="24"/>
          <w:szCs w:val="24"/>
          <w:lang w:bidi="fa-IR"/>
          <w14:ligatures w14:val="standardContextual"/>
        </w:rPr>
        <w:t xml:space="preserve"> UP.</w:t>
      </w:r>
    </w:p>
    <w:p w14:paraId="1170BE29"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Fabian, J. (1983). Time and the Other: How Anthropology Makes its Object. New York: Columbia</w:t>
      </w:r>
    </w:p>
    <w:p w14:paraId="2D3BD9CD"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University Press.</w:t>
      </w:r>
    </w:p>
    <w:p w14:paraId="6C1F5C12"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Foucault, M. (1972). Archaeology of Knowledge and the Discourse on Language. Trans. A. M. Sheridan.</w:t>
      </w:r>
    </w:p>
    <w:p w14:paraId="0A1C0D23"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New York: Pantheon Books.</w:t>
      </w:r>
    </w:p>
    <w:p w14:paraId="7130AF16"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Foucault, M. (1977). Discipline and Punish: The Birth of the Prison. Trans. Alan Sheridan. New York: Vintage Book</w:t>
      </w:r>
    </w:p>
    <w:p w14:paraId="73B9C1BF"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Foucault, M. (1980). Power/Knowledge. New York: Pantheon Books.</w:t>
      </w:r>
    </w:p>
    <w:p w14:paraId="384AA5D0"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Gramsci, A. (2000). “On Hegemony and Direct Rule”. Orientalism: A Reader. Ed. A. L. Macfie. New</w:t>
      </w:r>
    </w:p>
    <w:p w14:paraId="22C7E5EB"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York: New York University Press. New York: International Publishers.</w:t>
      </w:r>
    </w:p>
    <w:p w14:paraId="69CC3B8A"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Halliday, F. (1993). “Orientalism and Its Crisis.” British Journal of Middle Eastern Studies, 20, 2, p. 145-163.</w:t>
      </w:r>
    </w:p>
    <w:p w14:paraId="5B150ECC"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Kennedy, V. (2000). Edward Said: A Critical Introduction. Cambridge: Polity Press.</w:t>
      </w:r>
    </w:p>
    <w:p w14:paraId="51E59701"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 xml:space="preserve">Kopf, D. (2000). “Hermeneutics versus History”. Orientalism: A Reader. Ed. A. L. Macfie. New York:  Journal of Asian Studies. 39, 3. Pp. 495-506. </w:t>
      </w:r>
    </w:p>
    <w:p w14:paraId="6FDED49B"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Lewis, B. (1993). Islam and the West. New York: Oxford UP.</w:t>
      </w:r>
    </w:p>
    <w:p w14:paraId="528F36F1"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Lockman, Zachary. Contending Visions of the Middle East: The History and Politics of Orientalism. Cambridge: Cambridge UP, 2004. Print.</w:t>
      </w:r>
    </w:p>
    <w:p w14:paraId="5B3BA679"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Macfie, A. L. (2000). Orientalism: A Reader. Edinburgh: Edinburgh University Press</w:t>
      </w:r>
    </w:p>
    <w:p w14:paraId="1A6E5184"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Macfie, A. L. (2002). Orientalism. London: Pearson Education.</w:t>
      </w:r>
    </w:p>
    <w:p w14:paraId="1539FB77"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proofErr w:type="spellStart"/>
      <w:r w:rsidRPr="002C6D4A">
        <w:rPr>
          <w:rFonts w:asciiTheme="majorBidi" w:eastAsia="Calibri" w:hAnsiTheme="majorBidi" w:cstheme="majorBidi"/>
          <w:kern w:val="2"/>
          <w:sz w:val="24"/>
          <w:szCs w:val="24"/>
          <w:lang w:bidi="fa-IR"/>
          <w14:ligatures w14:val="standardContextual"/>
        </w:rPr>
        <w:t>MacKenzie</w:t>
      </w:r>
      <w:proofErr w:type="spellEnd"/>
      <w:r w:rsidRPr="002C6D4A">
        <w:rPr>
          <w:rFonts w:asciiTheme="majorBidi" w:eastAsia="Calibri" w:hAnsiTheme="majorBidi" w:cstheme="majorBidi"/>
          <w:kern w:val="2"/>
          <w:sz w:val="24"/>
          <w:szCs w:val="24"/>
          <w:lang w:bidi="fa-IR"/>
          <w14:ligatures w14:val="standardContextual"/>
        </w:rPr>
        <w:t>, M. J. (2000). Orientalism: History, Theory and the Arts. Orientalism: A Reader. Ed. A. L.</w:t>
      </w:r>
    </w:p>
    <w:p w14:paraId="6C70B4C8"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Macfie. New York: New York UP.</w:t>
      </w:r>
    </w:p>
    <w:p w14:paraId="3AD45178"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proofErr w:type="spellStart"/>
      <w:r w:rsidRPr="002C6D4A">
        <w:rPr>
          <w:rFonts w:asciiTheme="majorBidi" w:eastAsia="Calibri" w:hAnsiTheme="majorBidi" w:cstheme="majorBidi"/>
          <w:kern w:val="2"/>
          <w:sz w:val="24"/>
          <w:szCs w:val="24"/>
          <w:lang w:bidi="fa-IR"/>
          <w14:ligatures w14:val="standardContextual"/>
        </w:rPr>
        <w:t>MacKenzie</w:t>
      </w:r>
      <w:proofErr w:type="spellEnd"/>
      <w:r w:rsidRPr="002C6D4A">
        <w:rPr>
          <w:rFonts w:asciiTheme="majorBidi" w:eastAsia="Calibri" w:hAnsiTheme="majorBidi" w:cstheme="majorBidi"/>
          <w:kern w:val="2"/>
          <w:sz w:val="24"/>
          <w:szCs w:val="24"/>
          <w:lang w:bidi="fa-IR"/>
          <w14:ligatures w14:val="standardContextual"/>
        </w:rPr>
        <w:t>, M. J. (2015). “The British Empire: Ramshackle or Rampaging? A Historiographical</w:t>
      </w:r>
    </w:p>
    <w:p w14:paraId="7E464953"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Reflection”, The Journal of Imperial and Commonwealth History, 43:1, 99-124.</w:t>
      </w:r>
    </w:p>
    <w:p w14:paraId="6977E219"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Nietzsche, Friedrich. (2000). Extract from Human, All Too Human. Orientalism: A Reader. Ed. A. L.</w:t>
      </w:r>
    </w:p>
    <w:p w14:paraId="3729B71E"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Macfie. New York: New York University Press. London: University of Nebraska Press. pp. 23-4.</w:t>
      </w:r>
    </w:p>
    <w:p w14:paraId="5662D22A"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Richardson, M. (1990). “Enough Said: Reflections on Orientalism.” Anthropology Today 6, 4, p. 16-19.</w:t>
      </w:r>
    </w:p>
    <w:p w14:paraId="28256E0D"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Said. E. (2003). Orientalism. New York: Vintage.</w:t>
      </w:r>
    </w:p>
    <w:p w14:paraId="3EFBA591"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Sivan, E. (1985). “Edward Said and his Arab Reviewers”. Interpretations of Islam: Past and Present.</w:t>
      </w:r>
    </w:p>
    <w:p w14:paraId="570B7208"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proofErr w:type="spellStart"/>
      <w:r w:rsidRPr="002C6D4A">
        <w:rPr>
          <w:rFonts w:asciiTheme="majorBidi" w:eastAsia="Calibri" w:hAnsiTheme="majorBidi" w:cstheme="majorBidi"/>
          <w:kern w:val="2"/>
          <w:sz w:val="24"/>
          <w:szCs w:val="24"/>
          <w:lang w:bidi="fa-IR"/>
          <w14:ligatures w14:val="standardContextual"/>
        </w:rPr>
        <w:t>Princeon</w:t>
      </w:r>
      <w:proofErr w:type="spellEnd"/>
      <w:r w:rsidRPr="002C6D4A">
        <w:rPr>
          <w:rFonts w:asciiTheme="majorBidi" w:eastAsia="Calibri" w:hAnsiTheme="majorBidi" w:cstheme="majorBidi"/>
          <w:kern w:val="2"/>
          <w:sz w:val="24"/>
          <w:szCs w:val="24"/>
          <w:lang w:bidi="fa-IR"/>
          <w14:ligatures w14:val="standardContextual"/>
        </w:rPr>
        <w:t>, NJ: Darwin Press.</w:t>
      </w:r>
    </w:p>
    <w:p w14:paraId="6D228C3F"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Varisco, Daniel, M. (2008) Reading Orientalism: Said and the Unsaid, Seattle and London:</w:t>
      </w:r>
    </w:p>
    <w:p w14:paraId="616B49F1"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University of Washington Press.</w:t>
      </w:r>
    </w:p>
    <w:p w14:paraId="6C008288"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proofErr w:type="spellStart"/>
      <w:r w:rsidRPr="002C6D4A">
        <w:rPr>
          <w:rFonts w:asciiTheme="majorBidi" w:eastAsia="Calibri" w:hAnsiTheme="majorBidi" w:cstheme="majorBidi"/>
          <w:kern w:val="2"/>
          <w:sz w:val="24"/>
          <w:szCs w:val="24"/>
          <w:lang w:bidi="fa-IR"/>
          <w14:ligatures w14:val="standardContextual"/>
        </w:rPr>
        <w:t>Warraq</w:t>
      </w:r>
      <w:proofErr w:type="spellEnd"/>
      <w:r w:rsidRPr="002C6D4A">
        <w:rPr>
          <w:rFonts w:asciiTheme="majorBidi" w:eastAsia="Calibri" w:hAnsiTheme="majorBidi" w:cstheme="majorBidi"/>
          <w:kern w:val="2"/>
          <w:sz w:val="24"/>
          <w:szCs w:val="24"/>
          <w:lang w:bidi="fa-IR"/>
          <w14:ligatures w14:val="standardContextual"/>
        </w:rPr>
        <w:t>, I. (2007). Defending the West: A Critique of Edward Said’s Orientalism, Amherst, New York:</w:t>
      </w:r>
    </w:p>
    <w:p w14:paraId="6A9C8F65"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Prometheus Books.</w:t>
      </w:r>
    </w:p>
    <w:p w14:paraId="1335F66D"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Young, R. (2004). “Disorienting Orientalism.” White Mythologies: writing history and the West.</w:t>
      </w:r>
    </w:p>
    <w:p w14:paraId="183B7A2F" w14:textId="77777777" w:rsidR="002C6D4A" w:rsidRPr="002C6D4A" w:rsidRDefault="002C6D4A" w:rsidP="002C6D4A">
      <w:pPr>
        <w:bidi w:val="0"/>
        <w:spacing w:line="276" w:lineRule="auto"/>
        <w:jc w:val="both"/>
        <w:rPr>
          <w:rFonts w:asciiTheme="majorBidi" w:eastAsia="Calibri" w:hAnsiTheme="majorBidi" w:cstheme="majorBidi"/>
          <w:kern w:val="2"/>
          <w:sz w:val="24"/>
          <w:szCs w:val="24"/>
          <w:lang w:bidi="fa-IR"/>
          <w14:ligatures w14:val="standardContextual"/>
        </w:rPr>
      </w:pPr>
      <w:r w:rsidRPr="002C6D4A">
        <w:rPr>
          <w:rFonts w:asciiTheme="majorBidi" w:eastAsia="Calibri" w:hAnsiTheme="majorBidi" w:cstheme="majorBidi"/>
          <w:kern w:val="2"/>
          <w:sz w:val="24"/>
          <w:szCs w:val="24"/>
          <w:lang w:bidi="fa-IR"/>
          <w14:ligatures w14:val="standardContextual"/>
        </w:rPr>
        <w:t>London; New York: Routledge. p. 119- 140.</w:t>
      </w:r>
    </w:p>
    <w:p w14:paraId="17CEB684"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Abdel-Malek, A. (1963), “Orientalism in Crisis”, Diogenes, vol. 44, pp. 103–140</w:t>
      </w:r>
      <w:r w:rsidRPr="002C6D4A">
        <w:rPr>
          <w:rFonts w:asciiTheme="majorBidi" w:eastAsia="Calibri" w:hAnsiTheme="majorBidi" w:cstheme="majorBidi"/>
          <w:sz w:val="24"/>
          <w:szCs w:val="24"/>
          <w:rtl/>
        </w:rPr>
        <w:t>.</w:t>
      </w:r>
    </w:p>
    <w:p w14:paraId="703CA4F7"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Alessandrini, A. (1999), Frantz Fanon: Critical Perspectives, Routledge, New York</w:t>
      </w:r>
      <w:r w:rsidRPr="002C6D4A">
        <w:rPr>
          <w:rFonts w:asciiTheme="majorBidi" w:eastAsia="Calibri" w:hAnsiTheme="majorBidi" w:cstheme="majorBidi"/>
          <w:sz w:val="24"/>
          <w:szCs w:val="24"/>
          <w:rtl/>
        </w:rPr>
        <w:t>.</w:t>
      </w:r>
    </w:p>
    <w:p w14:paraId="61918EB7"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Alleg</w:t>
      </w:r>
      <w:proofErr w:type="spellEnd"/>
      <w:r w:rsidRPr="002C6D4A">
        <w:rPr>
          <w:rFonts w:asciiTheme="majorBidi" w:eastAsia="Calibri" w:hAnsiTheme="majorBidi" w:cstheme="majorBidi"/>
          <w:sz w:val="24"/>
          <w:szCs w:val="24"/>
        </w:rPr>
        <w:t>, H. (1958), La Question, Éditions du Minuit, Paris</w:t>
      </w:r>
      <w:r w:rsidRPr="002C6D4A">
        <w:rPr>
          <w:rFonts w:asciiTheme="majorBidi" w:eastAsia="Calibri" w:hAnsiTheme="majorBidi" w:cstheme="majorBidi"/>
          <w:sz w:val="24"/>
          <w:szCs w:val="24"/>
          <w:rtl/>
        </w:rPr>
        <w:t>.</w:t>
      </w:r>
    </w:p>
    <w:p w14:paraId="281CED68"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Anon. (1968), “The Social Responsibility of Anthropology. Forum”, Current Anthropology, vol. 9, pp. 391–435</w:t>
      </w:r>
      <w:r w:rsidRPr="002C6D4A">
        <w:rPr>
          <w:rFonts w:asciiTheme="majorBidi" w:eastAsia="Calibri" w:hAnsiTheme="majorBidi" w:cstheme="majorBidi"/>
          <w:sz w:val="24"/>
          <w:szCs w:val="24"/>
          <w:rtl/>
        </w:rPr>
        <w:t>.</w:t>
      </w:r>
    </w:p>
    <w:p w14:paraId="78CC69F9"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Ausserasses</w:t>
      </w:r>
      <w:proofErr w:type="spellEnd"/>
      <w:r w:rsidRPr="002C6D4A">
        <w:rPr>
          <w:rFonts w:asciiTheme="majorBidi" w:eastAsia="Calibri" w:hAnsiTheme="majorBidi" w:cstheme="majorBidi"/>
          <w:sz w:val="24"/>
          <w:szCs w:val="24"/>
        </w:rPr>
        <w:t xml:space="preserve">, P. (2001), Services </w:t>
      </w:r>
      <w:proofErr w:type="spellStart"/>
      <w:r w:rsidRPr="002C6D4A">
        <w:rPr>
          <w:rFonts w:asciiTheme="majorBidi" w:eastAsia="Calibri" w:hAnsiTheme="majorBidi" w:cstheme="majorBidi"/>
          <w:sz w:val="24"/>
          <w:szCs w:val="24"/>
        </w:rPr>
        <w:t>Spéciaux</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Algérie</w:t>
      </w:r>
      <w:proofErr w:type="spellEnd"/>
      <w:r w:rsidRPr="002C6D4A">
        <w:rPr>
          <w:rFonts w:asciiTheme="majorBidi" w:eastAsia="Calibri" w:hAnsiTheme="majorBidi" w:cstheme="majorBidi"/>
          <w:sz w:val="24"/>
          <w:szCs w:val="24"/>
        </w:rPr>
        <w:t xml:space="preserve"> 1955–1957, Perrin, Paris</w:t>
      </w:r>
      <w:r w:rsidRPr="002C6D4A">
        <w:rPr>
          <w:rFonts w:asciiTheme="majorBidi" w:eastAsia="Calibri" w:hAnsiTheme="majorBidi" w:cstheme="majorBidi"/>
          <w:sz w:val="24"/>
          <w:szCs w:val="24"/>
          <w:rtl/>
        </w:rPr>
        <w:t>.</w:t>
      </w:r>
    </w:p>
    <w:p w14:paraId="550A6254"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Ansell-Pearson, K., Parry, B. and Squires, J. (eds) (1995), Cultural Identity and the Gravity of History: On the Work of Edward Said, Lawrence &amp; Wishart, London</w:t>
      </w:r>
      <w:r w:rsidRPr="002C6D4A">
        <w:rPr>
          <w:rFonts w:asciiTheme="majorBidi" w:eastAsia="Calibri" w:hAnsiTheme="majorBidi" w:cstheme="majorBidi"/>
          <w:sz w:val="24"/>
          <w:szCs w:val="24"/>
          <w:rtl/>
        </w:rPr>
        <w:t>.</w:t>
      </w:r>
    </w:p>
    <w:p w14:paraId="0A6B0783"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Asad, T. (1973), Anthropology and the Colonial Encounter, Ithaca Press, London</w:t>
      </w:r>
      <w:r w:rsidRPr="002C6D4A">
        <w:rPr>
          <w:rFonts w:asciiTheme="majorBidi" w:eastAsia="Calibri" w:hAnsiTheme="majorBidi" w:cstheme="majorBidi"/>
          <w:sz w:val="24"/>
          <w:szCs w:val="24"/>
          <w:rtl/>
        </w:rPr>
        <w:t>.</w:t>
      </w:r>
    </w:p>
    <w:p w14:paraId="470BDBA5"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Bové</w:t>
      </w:r>
      <w:proofErr w:type="spellEnd"/>
      <w:r w:rsidRPr="002C6D4A">
        <w:rPr>
          <w:rFonts w:asciiTheme="majorBidi" w:eastAsia="Calibri" w:hAnsiTheme="majorBidi" w:cstheme="majorBidi"/>
          <w:sz w:val="24"/>
          <w:szCs w:val="24"/>
        </w:rPr>
        <w:t>, P. (ed.) (2000), Edward Said and the Work of the Critic: Speaking Truth to Power, Duke University Press, Durham</w:t>
      </w:r>
      <w:r w:rsidRPr="002C6D4A">
        <w:rPr>
          <w:rFonts w:asciiTheme="majorBidi" w:eastAsia="Calibri" w:hAnsiTheme="majorBidi" w:cstheme="majorBidi"/>
          <w:sz w:val="24"/>
          <w:szCs w:val="24"/>
          <w:rtl/>
        </w:rPr>
        <w:t>.</w:t>
      </w:r>
    </w:p>
    <w:p w14:paraId="2CF6257B" w14:textId="77777777" w:rsidR="002C6D4A" w:rsidRPr="002C6D4A" w:rsidRDefault="002C6D4A" w:rsidP="002C6D4A">
      <w:pPr>
        <w:bidi w:val="0"/>
        <w:jc w:val="both"/>
        <w:rPr>
          <w:rFonts w:asciiTheme="majorBidi" w:eastAsia="Calibri" w:hAnsiTheme="majorBidi" w:cstheme="majorBidi"/>
          <w:sz w:val="24"/>
          <w:szCs w:val="24"/>
          <w:rtl/>
        </w:rPr>
      </w:pPr>
      <w:r w:rsidRPr="002C6D4A">
        <w:rPr>
          <w:rFonts w:asciiTheme="majorBidi" w:eastAsia="Calibri" w:hAnsiTheme="majorBidi" w:cstheme="majorBidi"/>
          <w:sz w:val="24"/>
          <w:szCs w:val="24"/>
        </w:rPr>
        <w:t xml:space="preserve">Bourdieu, P. (1976), “Conditions </w:t>
      </w:r>
      <w:proofErr w:type="spellStart"/>
      <w:r w:rsidRPr="002C6D4A">
        <w:rPr>
          <w:rFonts w:asciiTheme="majorBidi" w:eastAsia="Calibri" w:hAnsiTheme="majorBidi" w:cstheme="majorBidi"/>
          <w:sz w:val="24"/>
          <w:szCs w:val="24"/>
        </w:rPr>
        <w:t>sociales</w:t>
      </w:r>
      <w:proofErr w:type="spellEnd"/>
      <w:r w:rsidRPr="002C6D4A">
        <w:rPr>
          <w:rFonts w:asciiTheme="majorBidi" w:eastAsia="Calibri" w:hAnsiTheme="majorBidi" w:cstheme="majorBidi"/>
          <w:sz w:val="24"/>
          <w:szCs w:val="24"/>
        </w:rPr>
        <w:t xml:space="preserve"> de la production </w:t>
      </w:r>
      <w:proofErr w:type="spellStart"/>
      <w:r w:rsidRPr="002C6D4A">
        <w:rPr>
          <w:rFonts w:asciiTheme="majorBidi" w:eastAsia="Calibri" w:hAnsiTheme="majorBidi" w:cstheme="majorBidi"/>
          <w:sz w:val="24"/>
          <w:szCs w:val="24"/>
        </w:rPr>
        <w:t>scientifique</w:t>
      </w:r>
      <w:proofErr w:type="spellEnd"/>
      <w:r w:rsidRPr="002C6D4A">
        <w:rPr>
          <w:rFonts w:asciiTheme="majorBidi" w:eastAsia="Calibri" w:hAnsiTheme="majorBidi" w:cstheme="majorBidi"/>
          <w:sz w:val="24"/>
          <w:szCs w:val="24"/>
        </w:rPr>
        <w:t xml:space="preserve">”, in H. Moniot (ed.), Le Mal de </w:t>
      </w:r>
      <w:proofErr w:type="spellStart"/>
      <w:r w:rsidRPr="002C6D4A">
        <w:rPr>
          <w:rFonts w:asciiTheme="majorBidi" w:eastAsia="Calibri" w:hAnsiTheme="majorBidi" w:cstheme="majorBidi"/>
          <w:sz w:val="24"/>
          <w:szCs w:val="24"/>
        </w:rPr>
        <w:t>voir</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Ethnologie</w:t>
      </w:r>
      <w:proofErr w:type="spellEnd"/>
      <w:r w:rsidRPr="002C6D4A">
        <w:rPr>
          <w:rFonts w:asciiTheme="majorBidi" w:eastAsia="Calibri" w:hAnsiTheme="majorBidi" w:cstheme="majorBidi"/>
          <w:sz w:val="24"/>
          <w:szCs w:val="24"/>
        </w:rPr>
        <w:t xml:space="preserve"> et </w:t>
      </w:r>
      <w:proofErr w:type="spellStart"/>
      <w:r w:rsidRPr="002C6D4A">
        <w:rPr>
          <w:rFonts w:asciiTheme="majorBidi" w:eastAsia="Calibri" w:hAnsiTheme="majorBidi" w:cstheme="majorBidi"/>
          <w:sz w:val="24"/>
          <w:szCs w:val="24"/>
        </w:rPr>
        <w:t>orientalisme</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politique</w:t>
      </w:r>
      <w:proofErr w:type="spellEnd"/>
      <w:r w:rsidRPr="002C6D4A">
        <w:rPr>
          <w:rFonts w:asciiTheme="majorBidi" w:eastAsia="Calibri" w:hAnsiTheme="majorBidi" w:cstheme="majorBidi"/>
          <w:sz w:val="24"/>
          <w:szCs w:val="24"/>
        </w:rPr>
        <w:t xml:space="preserve"> et </w:t>
      </w:r>
      <w:proofErr w:type="spellStart"/>
      <w:r w:rsidRPr="002C6D4A">
        <w:rPr>
          <w:rFonts w:asciiTheme="majorBidi" w:eastAsia="Calibri" w:hAnsiTheme="majorBidi" w:cstheme="majorBidi"/>
          <w:sz w:val="24"/>
          <w:szCs w:val="24"/>
        </w:rPr>
        <w:t>épistémologie</w:t>
      </w:r>
      <w:proofErr w:type="spellEnd"/>
      <w:r w:rsidRPr="002C6D4A">
        <w:rPr>
          <w:rFonts w:asciiTheme="majorBidi" w:eastAsia="Calibri" w:hAnsiTheme="majorBidi" w:cstheme="majorBidi"/>
          <w:sz w:val="24"/>
          <w:szCs w:val="24"/>
        </w:rPr>
        <w:t xml:space="preserve">, critique et </w:t>
      </w:r>
      <w:proofErr w:type="spellStart"/>
      <w:r w:rsidRPr="002C6D4A">
        <w:rPr>
          <w:rFonts w:asciiTheme="majorBidi" w:eastAsia="Calibri" w:hAnsiTheme="majorBidi" w:cstheme="majorBidi"/>
          <w:sz w:val="24"/>
          <w:szCs w:val="24"/>
        </w:rPr>
        <w:t>autocritique</w:t>
      </w:r>
      <w:proofErr w:type="spellEnd"/>
      <w:r w:rsidRPr="002C6D4A">
        <w:rPr>
          <w:rFonts w:asciiTheme="majorBidi" w:eastAsia="Calibri" w:hAnsiTheme="majorBidi" w:cstheme="majorBidi"/>
          <w:sz w:val="24"/>
          <w:szCs w:val="24"/>
        </w:rPr>
        <w:t xml:space="preserve">, Cahiers </w:t>
      </w:r>
      <w:proofErr w:type="spellStart"/>
      <w:r w:rsidRPr="002C6D4A">
        <w:rPr>
          <w:rFonts w:asciiTheme="majorBidi" w:eastAsia="Calibri" w:hAnsiTheme="majorBidi" w:cstheme="majorBidi"/>
          <w:sz w:val="24"/>
          <w:szCs w:val="24"/>
        </w:rPr>
        <w:t>Jussieu</w:t>
      </w:r>
      <w:proofErr w:type="spellEnd"/>
      <w:r w:rsidRPr="002C6D4A">
        <w:rPr>
          <w:rFonts w:asciiTheme="majorBidi" w:eastAsia="Calibri" w:hAnsiTheme="majorBidi" w:cstheme="majorBidi"/>
          <w:sz w:val="24"/>
          <w:szCs w:val="24"/>
        </w:rPr>
        <w:t xml:space="preserve"> no. 2, Université de Paris VII, Paris, pp. 416–427</w:t>
      </w:r>
      <w:r w:rsidRPr="002C6D4A">
        <w:rPr>
          <w:rFonts w:asciiTheme="majorBidi" w:eastAsia="Calibri" w:hAnsiTheme="majorBidi" w:cstheme="majorBidi"/>
          <w:sz w:val="24"/>
          <w:szCs w:val="24"/>
          <w:rtl/>
        </w:rPr>
        <w:t>.</w:t>
      </w:r>
    </w:p>
    <w:p w14:paraId="7A089FAB"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 xml:space="preserve">Bourdieu, P. (1977), “Le champ </w:t>
      </w:r>
      <w:proofErr w:type="spellStart"/>
      <w:r w:rsidRPr="002C6D4A">
        <w:rPr>
          <w:rFonts w:asciiTheme="majorBidi" w:eastAsia="Calibri" w:hAnsiTheme="majorBidi" w:cstheme="majorBidi"/>
          <w:sz w:val="24"/>
          <w:szCs w:val="24"/>
        </w:rPr>
        <w:t>scientifique</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Actes</w:t>
      </w:r>
      <w:proofErr w:type="spellEnd"/>
      <w:r w:rsidRPr="002C6D4A">
        <w:rPr>
          <w:rFonts w:asciiTheme="majorBidi" w:eastAsia="Calibri" w:hAnsiTheme="majorBidi" w:cstheme="majorBidi"/>
          <w:sz w:val="24"/>
          <w:szCs w:val="24"/>
        </w:rPr>
        <w:t xml:space="preserve"> de la </w:t>
      </w:r>
      <w:proofErr w:type="spellStart"/>
      <w:r w:rsidRPr="002C6D4A">
        <w:rPr>
          <w:rFonts w:asciiTheme="majorBidi" w:eastAsia="Calibri" w:hAnsiTheme="majorBidi" w:cstheme="majorBidi"/>
          <w:sz w:val="24"/>
          <w:szCs w:val="24"/>
        </w:rPr>
        <w:t>recherche</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en</w:t>
      </w:r>
      <w:proofErr w:type="spellEnd"/>
      <w:r w:rsidRPr="002C6D4A">
        <w:rPr>
          <w:rFonts w:asciiTheme="majorBidi" w:eastAsia="Calibri" w:hAnsiTheme="majorBidi" w:cstheme="majorBidi"/>
          <w:sz w:val="24"/>
          <w:szCs w:val="24"/>
        </w:rPr>
        <w:t xml:space="preserve"> sciences </w:t>
      </w:r>
      <w:proofErr w:type="spellStart"/>
      <w:r w:rsidRPr="002C6D4A">
        <w:rPr>
          <w:rFonts w:asciiTheme="majorBidi" w:eastAsia="Calibri" w:hAnsiTheme="majorBidi" w:cstheme="majorBidi"/>
          <w:sz w:val="24"/>
          <w:szCs w:val="24"/>
        </w:rPr>
        <w:t>sociales</w:t>
      </w:r>
      <w:proofErr w:type="spellEnd"/>
      <w:r w:rsidRPr="002C6D4A">
        <w:rPr>
          <w:rFonts w:asciiTheme="majorBidi" w:eastAsia="Calibri" w:hAnsiTheme="majorBidi" w:cstheme="majorBidi"/>
          <w:sz w:val="24"/>
          <w:szCs w:val="24"/>
        </w:rPr>
        <w:t>, nos. 2–3, pp. 88–104</w:t>
      </w:r>
      <w:r w:rsidRPr="002C6D4A">
        <w:rPr>
          <w:rFonts w:asciiTheme="majorBidi" w:eastAsia="Calibri" w:hAnsiTheme="majorBidi" w:cstheme="majorBidi"/>
          <w:sz w:val="24"/>
          <w:szCs w:val="24"/>
          <w:rtl/>
        </w:rPr>
        <w:t>.</w:t>
      </w:r>
    </w:p>
    <w:p w14:paraId="37E267F8"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Bourdieu, P. (1990a [1980]), The Logic of Practice, Stanford University Press, Stanford</w:t>
      </w:r>
      <w:r w:rsidRPr="002C6D4A">
        <w:rPr>
          <w:rFonts w:asciiTheme="majorBidi" w:eastAsia="Calibri" w:hAnsiTheme="majorBidi" w:cstheme="majorBidi"/>
          <w:sz w:val="24"/>
          <w:szCs w:val="24"/>
          <w:rtl/>
        </w:rPr>
        <w:t>.</w:t>
      </w:r>
    </w:p>
    <w:p w14:paraId="03BB70E3"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Bourdieu, P. (1990b [1987]), In Other Words: Essays Towards a Reflexive Sociology, Stanford University Press, Stanford</w:t>
      </w:r>
      <w:r w:rsidRPr="002C6D4A">
        <w:rPr>
          <w:rFonts w:asciiTheme="majorBidi" w:eastAsia="Calibri" w:hAnsiTheme="majorBidi" w:cstheme="majorBidi"/>
          <w:sz w:val="24"/>
          <w:szCs w:val="24"/>
          <w:rtl/>
        </w:rPr>
        <w:t>.</w:t>
      </w:r>
    </w:p>
    <w:p w14:paraId="48E65522"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Bourdieu, P. (1993 [1984]), Sociology in Question, Sage, Thousand Oaks</w:t>
      </w:r>
      <w:r w:rsidRPr="002C6D4A">
        <w:rPr>
          <w:rFonts w:asciiTheme="majorBidi" w:eastAsia="Calibri" w:hAnsiTheme="majorBidi" w:cstheme="majorBidi"/>
          <w:sz w:val="24"/>
          <w:szCs w:val="24"/>
          <w:rtl/>
        </w:rPr>
        <w:t>.</w:t>
      </w:r>
    </w:p>
    <w:p w14:paraId="475CDAAF"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Burke III, E. (1976), “Frantz Fanon: A Retrospective Review”, Daedalus, vol. 105, pp. 127–135</w:t>
      </w:r>
      <w:r w:rsidRPr="002C6D4A">
        <w:rPr>
          <w:rFonts w:asciiTheme="majorBidi" w:eastAsia="Calibri" w:hAnsiTheme="majorBidi" w:cstheme="majorBidi"/>
          <w:sz w:val="24"/>
          <w:szCs w:val="24"/>
          <w:rtl/>
        </w:rPr>
        <w:t>.</w:t>
      </w:r>
    </w:p>
    <w:p w14:paraId="503E438A"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Burke III, E. (1995), “Orientalism”, in Encyclopedia of the Modern Islamic World, Oxford University Press, New York, pp. 267–269</w:t>
      </w:r>
      <w:r w:rsidRPr="002C6D4A">
        <w:rPr>
          <w:rFonts w:asciiTheme="majorBidi" w:eastAsia="Calibri" w:hAnsiTheme="majorBidi" w:cstheme="majorBidi"/>
          <w:sz w:val="24"/>
          <w:szCs w:val="24"/>
          <w:rtl/>
        </w:rPr>
        <w:t>.</w:t>
      </w:r>
    </w:p>
    <w:p w14:paraId="7FB1E869"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Burke III, E. (1998), “Theorizing the Histories of Colonialism and Nationalism in the Arab Maghrib”, Arab Studies Quarterly, vol. 20, pp. 5–19</w:t>
      </w:r>
      <w:r w:rsidRPr="002C6D4A">
        <w:rPr>
          <w:rFonts w:asciiTheme="majorBidi" w:eastAsia="Calibri" w:hAnsiTheme="majorBidi" w:cstheme="majorBidi"/>
          <w:sz w:val="24"/>
          <w:szCs w:val="24"/>
          <w:rtl/>
        </w:rPr>
        <w:t>.</w:t>
      </w:r>
    </w:p>
    <w:p w14:paraId="672DF7D5"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Burke III, E. (2001), “Terror and Religion: Brittany and Algeria”, in M. Bunton, R. Crozier and G. Crozier (eds), Colonialism and the Modern World, M. E. Sharpe, White Plains, NY</w:t>
      </w:r>
      <w:r w:rsidRPr="002C6D4A">
        <w:rPr>
          <w:rFonts w:asciiTheme="majorBidi" w:eastAsia="Calibri" w:hAnsiTheme="majorBidi" w:cstheme="majorBidi"/>
          <w:sz w:val="24"/>
          <w:szCs w:val="24"/>
          <w:rtl/>
        </w:rPr>
        <w:t>.</w:t>
      </w:r>
    </w:p>
    <w:p w14:paraId="69899199"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 xml:space="preserve">Calhoun, C., LiPuma, E. and </w:t>
      </w:r>
      <w:proofErr w:type="spellStart"/>
      <w:r w:rsidRPr="002C6D4A">
        <w:rPr>
          <w:rFonts w:asciiTheme="majorBidi" w:eastAsia="Calibri" w:hAnsiTheme="majorBidi" w:cstheme="majorBidi"/>
          <w:sz w:val="24"/>
          <w:szCs w:val="24"/>
        </w:rPr>
        <w:t>Postone</w:t>
      </w:r>
      <w:proofErr w:type="spellEnd"/>
      <w:r w:rsidRPr="002C6D4A">
        <w:rPr>
          <w:rFonts w:asciiTheme="majorBidi" w:eastAsia="Calibri" w:hAnsiTheme="majorBidi" w:cstheme="majorBidi"/>
          <w:sz w:val="24"/>
          <w:szCs w:val="24"/>
        </w:rPr>
        <w:t>, M. (eds) (1993), Bourdieu: Critical Perspectives, University of Chicago Press, Chicago</w:t>
      </w:r>
      <w:r w:rsidRPr="002C6D4A">
        <w:rPr>
          <w:rFonts w:asciiTheme="majorBidi" w:eastAsia="Calibri" w:hAnsiTheme="majorBidi" w:cstheme="majorBidi"/>
          <w:sz w:val="24"/>
          <w:szCs w:val="24"/>
          <w:rtl/>
        </w:rPr>
        <w:t>.</w:t>
      </w:r>
    </w:p>
    <w:p w14:paraId="5DA39803"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Copans</w:t>
      </w:r>
      <w:proofErr w:type="spellEnd"/>
      <w:r w:rsidRPr="002C6D4A">
        <w:rPr>
          <w:rFonts w:asciiTheme="majorBidi" w:eastAsia="Calibri" w:hAnsiTheme="majorBidi" w:cstheme="majorBidi"/>
          <w:sz w:val="24"/>
          <w:szCs w:val="24"/>
        </w:rPr>
        <w:t xml:space="preserve">, J. (1975), Anthropologie et </w:t>
      </w:r>
      <w:proofErr w:type="spellStart"/>
      <w:r w:rsidRPr="002C6D4A">
        <w:rPr>
          <w:rFonts w:asciiTheme="majorBidi" w:eastAsia="Calibri" w:hAnsiTheme="majorBidi" w:cstheme="majorBidi"/>
          <w:sz w:val="24"/>
          <w:szCs w:val="24"/>
        </w:rPr>
        <w:t>impérialisme</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Maspero</w:t>
      </w:r>
      <w:proofErr w:type="spellEnd"/>
      <w:r w:rsidRPr="002C6D4A">
        <w:rPr>
          <w:rFonts w:asciiTheme="majorBidi" w:eastAsia="Calibri" w:hAnsiTheme="majorBidi" w:cstheme="majorBidi"/>
          <w:sz w:val="24"/>
          <w:szCs w:val="24"/>
        </w:rPr>
        <w:t>, Paris</w:t>
      </w:r>
      <w:r w:rsidRPr="002C6D4A">
        <w:rPr>
          <w:rFonts w:asciiTheme="majorBidi" w:eastAsia="Calibri" w:hAnsiTheme="majorBidi" w:cstheme="majorBidi"/>
          <w:sz w:val="24"/>
          <w:szCs w:val="24"/>
          <w:rtl/>
        </w:rPr>
        <w:t>.</w:t>
      </w:r>
    </w:p>
    <w:p w14:paraId="680B8779"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 xml:space="preserve">Cornforth, M. (ed.) (1979), Rebels and Their Causes: Essays in </w:t>
      </w:r>
      <w:proofErr w:type="spellStart"/>
      <w:r w:rsidRPr="002C6D4A">
        <w:rPr>
          <w:rFonts w:asciiTheme="majorBidi" w:eastAsia="Calibri" w:hAnsiTheme="majorBidi" w:cstheme="majorBidi"/>
          <w:sz w:val="24"/>
          <w:szCs w:val="24"/>
        </w:rPr>
        <w:t>Honour</w:t>
      </w:r>
      <w:proofErr w:type="spellEnd"/>
      <w:r w:rsidRPr="002C6D4A">
        <w:rPr>
          <w:rFonts w:asciiTheme="majorBidi" w:eastAsia="Calibri" w:hAnsiTheme="majorBidi" w:cstheme="majorBidi"/>
          <w:sz w:val="24"/>
          <w:szCs w:val="24"/>
        </w:rPr>
        <w:t xml:space="preserve"> of A. L. Morton, Humanities Press, Atlantic Highlands, NJ</w:t>
      </w:r>
      <w:r w:rsidRPr="002C6D4A">
        <w:rPr>
          <w:rFonts w:asciiTheme="majorBidi" w:eastAsia="Calibri" w:hAnsiTheme="majorBidi" w:cstheme="majorBidi"/>
          <w:sz w:val="24"/>
          <w:szCs w:val="24"/>
          <w:rtl/>
        </w:rPr>
        <w:t>.</w:t>
      </w:r>
    </w:p>
    <w:p w14:paraId="1D592BBD"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Dosse</w:t>
      </w:r>
      <w:proofErr w:type="spellEnd"/>
      <w:r w:rsidRPr="002C6D4A">
        <w:rPr>
          <w:rFonts w:asciiTheme="majorBidi" w:eastAsia="Calibri" w:hAnsiTheme="majorBidi" w:cstheme="majorBidi"/>
          <w:sz w:val="24"/>
          <w:szCs w:val="24"/>
        </w:rPr>
        <w:t>, F. (1994 [1987]), New History in France: The Triumph of the Annales, University of Illinois Press, Urbana</w:t>
      </w:r>
      <w:r w:rsidRPr="002C6D4A">
        <w:rPr>
          <w:rFonts w:asciiTheme="majorBidi" w:eastAsia="Calibri" w:hAnsiTheme="majorBidi" w:cstheme="majorBidi"/>
          <w:sz w:val="24"/>
          <w:szCs w:val="24"/>
          <w:rtl/>
        </w:rPr>
        <w:t>.</w:t>
      </w:r>
    </w:p>
    <w:p w14:paraId="00EFB207"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Descombes, V. (1993 [1979]), Modern French Philosophy, Cambridge University Press, New York</w:t>
      </w:r>
      <w:r w:rsidRPr="002C6D4A">
        <w:rPr>
          <w:rFonts w:asciiTheme="majorBidi" w:eastAsia="Calibri" w:hAnsiTheme="majorBidi" w:cstheme="majorBidi"/>
          <w:sz w:val="24"/>
          <w:szCs w:val="24"/>
          <w:rtl/>
        </w:rPr>
        <w:t>.</w:t>
      </w:r>
    </w:p>
    <w:p w14:paraId="068D6B25"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Dunn, R. E. (ed.) (1999), The New World History, Bedford Books, New York</w:t>
      </w:r>
      <w:r w:rsidRPr="002C6D4A">
        <w:rPr>
          <w:rFonts w:asciiTheme="majorBidi" w:eastAsia="Calibri" w:hAnsiTheme="majorBidi" w:cstheme="majorBidi"/>
          <w:sz w:val="24"/>
          <w:szCs w:val="24"/>
          <w:rtl/>
        </w:rPr>
        <w:t>.</w:t>
      </w:r>
    </w:p>
    <w:p w14:paraId="7A54318C"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Fabian, J. (1983), Time and the Other: How Anthropology Constructs Its Object, Columbia University Press, New York</w:t>
      </w:r>
      <w:r w:rsidRPr="002C6D4A">
        <w:rPr>
          <w:rFonts w:asciiTheme="majorBidi" w:eastAsia="Calibri" w:hAnsiTheme="majorBidi" w:cstheme="majorBidi"/>
          <w:sz w:val="24"/>
          <w:szCs w:val="24"/>
          <w:rtl/>
        </w:rPr>
        <w:t>.</w:t>
      </w:r>
    </w:p>
    <w:p w14:paraId="0AFDBBA9"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Fanon, F. (1967 [1952]), Black Skin, White Masks, Grove Press, New York</w:t>
      </w:r>
      <w:r w:rsidRPr="002C6D4A">
        <w:rPr>
          <w:rFonts w:asciiTheme="majorBidi" w:eastAsia="Calibri" w:hAnsiTheme="majorBidi" w:cstheme="majorBidi"/>
          <w:sz w:val="24"/>
          <w:szCs w:val="24"/>
          <w:rtl/>
        </w:rPr>
        <w:t>.</w:t>
      </w:r>
    </w:p>
    <w:p w14:paraId="4314F6EB"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Fanon, F. (1965 [1959]), A Dying Colonialism, Grove Press, New York</w:t>
      </w:r>
      <w:r w:rsidRPr="002C6D4A">
        <w:rPr>
          <w:rFonts w:asciiTheme="majorBidi" w:eastAsia="Calibri" w:hAnsiTheme="majorBidi" w:cstheme="majorBidi"/>
          <w:sz w:val="24"/>
          <w:szCs w:val="24"/>
          <w:rtl/>
        </w:rPr>
        <w:t>.</w:t>
      </w:r>
    </w:p>
    <w:p w14:paraId="16517BE0"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Fanon, F. (1968 [1961]), The Wretched of the Earth, Grove Press, New York</w:t>
      </w:r>
      <w:r w:rsidRPr="002C6D4A">
        <w:rPr>
          <w:rFonts w:asciiTheme="majorBidi" w:eastAsia="Calibri" w:hAnsiTheme="majorBidi" w:cstheme="majorBidi"/>
          <w:sz w:val="24"/>
          <w:szCs w:val="24"/>
          <w:rtl/>
        </w:rPr>
        <w:t>.</w:t>
      </w:r>
    </w:p>
    <w:p w14:paraId="4F0A066F"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Fish, S. (1980), Is There a Text in This Class? The Authority of Interpretive Communities, Harvard University Press, Cambridge</w:t>
      </w:r>
      <w:r w:rsidRPr="002C6D4A">
        <w:rPr>
          <w:rFonts w:asciiTheme="majorBidi" w:eastAsia="Calibri" w:hAnsiTheme="majorBidi" w:cstheme="majorBidi"/>
          <w:sz w:val="24"/>
          <w:szCs w:val="24"/>
          <w:rtl/>
        </w:rPr>
        <w:t>.</w:t>
      </w:r>
    </w:p>
    <w:p w14:paraId="4EA5A3CB"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Foucault, M. (1965 [1961]), Madness and Civilization: A History of Insanity in the Age of Reason, Random House, New York</w:t>
      </w:r>
      <w:r w:rsidRPr="002C6D4A">
        <w:rPr>
          <w:rFonts w:asciiTheme="majorBidi" w:eastAsia="Calibri" w:hAnsiTheme="majorBidi" w:cstheme="majorBidi"/>
          <w:sz w:val="24"/>
          <w:szCs w:val="24"/>
          <w:rtl/>
        </w:rPr>
        <w:t>.</w:t>
      </w:r>
    </w:p>
    <w:p w14:paraId="438989EC"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Foucault, M. (1970 [1966]), The Order of Things: An Archaeology of the Human Sciences, Random House, New York</w:t>
      </w:r>
      <w:r w:rsidRPr="002C6D4A">
        <w:rPr>
          <w:rFonts w:asciiTheme="majorBidi" w:eastAsia="Calibri" w:hAnsiTheme="majorBidi" w:cstheme="majorBidi"/>
          <w:sz w:val="24"/>
          <w:szCs w:val="24"/>
          <w:rtl/>
        </w:rPr>
        <w:t>.</w:t>
      </w:r>
    </w:p>
    <w:p w14:paraId="0E7D0126"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Foucault, M. (1972 [1969]), The Archaeology of Knowledge, Random House, New York</w:t>
      </w:r>
      <w:r w:rsidRPr="002C6D4A">
        <w:rPr>
          <w:rFonts w:asciiTheme="majorBidi" w:eastAsia="Calibri" w:hAnsiTheme="majorBidi" w:cstheme="majorBidi"/>
          <w:sz w:val="24"/>
          <w:szCs w:val="24"/>
          <w:rtl/>
        </w:rPr>
        <w:t>.</w:t>
      </w:r>
    </w:p>
    <w:p w14:paraId="6CA1BD2F"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Foucault, M. (1973 [1963]), The Birth of the Clinic, Random House, New York</w:t>
      </w:r>
      <w:r w:rsidRPr="002C6D4A">
        <w:rPr>
          <w:rFonts w:asciiTheme="majorBidi" w:eastAsia="Calibri" w:hAnsiTheme="majorBidi" w:cstheme="majorBidi"/>
          <w:sz w:val="24"/>
          <w:szCs w:val="24"/>
          <w:rtl/>
        </w:rPr>
        <w:t>.</w:t>
      </w:r>
    </w:p>
    <w:p w14:paraId="13E39EA0"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Foucault, M. (1979 [1975]), Discipline and Punish: The Birth of the Prison, Random House, New York</w:t>
      </w:r>
      <w:r w:rsidRPr="002C6D4A">
        <w:rPr>
          <w:rFonts w:asciiTheme="majorBidi" w:eastAsia="Calibri" w:hAnsiTheme="majorBidi" w:cstheme="majorBidi"/>
          <w:sz w:val="24"/>
          <w:szCs w:val="24"/>
          <w:rtl/>
        </w:rPr>
        <w:t>.</w:t>
      </w:r>
    </w:p>
    <w:p w14:paraId="1E491EFE"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Gibson, N. C. (ed.) (1999), Rethinking Fanon: The Continuing Dialogue, Prometheus Books, Amherst, NY</w:t>
      </w:r>
      <w:r w:rsidRPr="002C6D4A">
        <w:rPr>
          <w:rFonts w:asciiTheme="majorBidi" w:eastAsia="Calibri" w:hAnsiTheme="majorBidi" w:cstheme="majorBidi"/>
          <w:sz w:val="24"/>
          <w:szCs w:val="24"/>
          <w:rtl/>
        </w:rPr>
        <w:t>.</w:t>
      </w:r>
    </w:p>
    <w:p w14:paraId="7636B8F5"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Gordon, D. C. (1964), North Africa’s French Legacy, 1954–1962, Harvard University Press, Cambridge</w:t>
      </w:r>
      <w:r w:rsidRPr="002C6D4A">
        <w:rPr>
          <w:rFonts w:asciiTheme="majorBidi" w:eastAsia="Calibri" w:hAnsiTheme="majorBidi" w:cstheme="majorBidi"/>
          <w:sz w:val="24"/>
          <w:szCs w:val="24"/>
          <w:rtl/>
        </w:rPr>
        <w:t>.</w:t>
      </w:r>
    </w:p>
    <w:p w14:paraId="2C62822C"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Gordon, D. C. (1971), Self-Determination and History in the Third World, Princeton University Press, Princeton</w:t>
      </w:r>
      <w:r w:rsidRPr="002C6D4A">
        <w:rPr>
          <w:rFonts w:asciiTheme="majorBidi" w:eastAsia="Calibri" w:hAnsiTheme="majorBidi" w:cstheme="majorBidi"/>
          <w:sz w:val="24"/>
          <w:szCs w:val="24"/>
          <w:rtl/>
        </w:rPr>
        <w:t>.</w:t>
      </w:r>
    </w:p>
    <w:p w14:paraId="5A288C81"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Grossberg, L., Nelson, C. and Treichler, P. A. (eds) (1992), Cultural Studies, Routledge, New York</w:t>
      </w:r>
      <w:r w:rsidRPr="002C6D4A">
        <w:rPr>
          <w:rFonts w:asciiTheme="majorBidi" w:eastAsia="Calibri" w:hAnsiTheme="majorBidi" w:cstheme="majorBidi"/>
          <w:sz w:val="24"/>
          <w:szCs w:val="24"/>
          <w:rtl/>
        </w:rPr>
        <w:t>.</w:t>
      </w:r>
    </w:p>
    <w:p w14:paraId="60A30561"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Hindess</w:t>
      </w:r>
      <w:proofErr w:type="spellEnd"/>
      <w:r w:rsidRPr="002C6D4A">
        <w:rPr>
          <w:rFonts w:asciiTheme="majorBidi" w:eastAsia="Calibri" w:hAnsiTheme="majorBidi" w:cstheme="majorBidi"/>
          <w:sz w:val="24"/>
          <w:szCs w:val="24"/>
        </w:rPr>
        <w:t>, B. and Hirst, P. Q. (1975), Pre-Capitalist Modes of Production, Routledge &amp; Kegan Paul, Boston</w:t>
      </w:r>
      <w:r w:rsidRPr="002C6D4A">
        <w:rPr>
          <w:rFonts w:asciiTheme="majorBidi" w:eastAsia="Calibri" w:hAnsiTheme="majorBidi" w:cstheme="majorBidi"/>
          <w:sz w:val="24"/>
          <w:szCs w:val="24"/>
          <w:rtl/>
        </w:rPr>
        <w:t>.</w:t>
      </w:r>
    </w:p>
    <w:p w14:paraId="6912563E"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Hymes, D. (ed.) (1969), Reinventing Anthropology, Pantheon, New York</w:t>
      </w:r>
      <w:r w:rsidRPr="002C6D4A">
        <w:rPr>
          <w:rFonts w:asciiTheme="majorBidi" w:eastAsia="Calibri" w:hAnsiTheme="majorBidi" w:cstheme="majorBidi"/>
          <w:sz w:val="24"/>
          <w:szCs w:val="24"/>
          <w:rtl/>
        </w:rPr>
        <w:t>.</w:t>
      </w:r>
    </w:p>
    <w:p w14:paraId="7F8379F6"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Jay, M. (1993a), Downcast Eyes: The Denigration of Vision in Twentieth-Century French Thought, University of California Press, Berkeley</w:t>
      </w:r>
      <w:r w:rsidRPr="002C6D4A">
        <w:rPr>
          <w:rFonts w:asciiTheme="majorBidi" w:eastAsia="Calibri" w:hAnsiTheme="majorBidi" w:cstheme="majorBidi"/>
          <w:sz w:val="24"/>
          <w:szCs w:val="24"/>
          <w:rtl/>
        </w:rPr>
        <w:t>.</w:t>
      </w:r>
    </w:p>
    <w:p w14:paraId="71EAD2B7"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Jay, M. (1993b), Force Fields: Between Intellectual History and Cultural Critique, Routledge, New York</w:t>
      </w:r>
      <w:r w:rsidRPr="002C6D4A">
        <w:rPr>
          <w:rFonts w:asciiTheme="majorBidi" w:eastAsia="Calibri" w:hAnsiTheme="majorBidi" w:cstheme="majorBidi"/>
          <w:sz w:val="24"/>
          <w:szCs w:val="24"/>
          <w:rtl/>
        </w:rPr>
        <w:t>.</w:t>
      </w:r>
    </w:p>
    <w:p w14:paraId="58A2BC87"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Judt</w:t>
      </w:r>
      <w:proofErr w:type="spellEnd"/>
      <w:r w:rsidRPr="002C6D4A">
        <w:rPr>
          <w:rFonts w:asciiTheme="majorBidi" w:eastAsia="Calibri" w:hAnsiTheme="majorBidi" w:cstheme="majorBidi"/>
          <w:sz w:val="24"/>
          <w:szCs w:val="24"/>
        </w:rPr>
        <w:t>, T. (1998), The Burden of Responsibility, University of Chicago Press, Chicago</w:t>
      </w:r>
      <w:r w:rsidRPr="002C6D4A">
        <w:rPr>
          <w:rFonts w:asciiTheme="majorBidi" w:eastAsia="Calibri" w:hAnsiTheme="majorBidi" w:cstheme="majorBidi"/>
          <w:sz w:val="24"/>
          <w:szCs w:val="24"/>
          <w:rtl/>
        </w:rPr>
        <w:t>.</w:t>
      </w:r>
    </w:p>
    <w:p w14:paraId="76275F3B"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Kiernan, V. G. (1969), Lords of Human Kind, Penguin, Harmondsworth</w:t>
      </w:r>
      <w:r w:rsidRPr="002C6D4A">
        <w:rPr>
          <w:rFonts w:asciiTheme="majorBidi" w:eastAsia="Calibri" w:hAnsiTheme="majorBidi" w:cstheme="majorBidi"/>
          <w:sz w:val="24"/>
          <w:szCs w:val="24"/>
          <w:rtl/>
        </w:rPr>
        <w:t>.</w:t>
      </w:r>
    </w:p>
    <w:p w14:paraId="5F7D529E"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Kuhn, T. S. (1996 [1962]), The Structure of Scientific Revolutions, University of Chicago Press, Chicago</w:t>
      </w:r>
      <w:r w:rsidRPr="002C6D4A">
        <w:rPr>
          <w:rFonts w:asciiTheme="majorBidi" w:eastAsia="Calibri" w:hAnsiTheme="majorBidi" w:cstheme="majorBidi"/>
          <w:sz w:val="24"/>
          <w:szCs w:val="24"/>
          <w:rtl/>
        </w:rPr>
        <w:t>.</w:t>
      </w:r>
    </w:p>
    <w:p w14:paraId="65D75EB9"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Lacheraf</w:t>
      </w:r>
      <w:proofErr w:type="spellEnd"/>
      <w:r w:rsidRPr="002C6D4A">
        <w:rPr>
          <w:rFonts w:asciiTheme="majorBidi" w:eastAsia="Calibri" w:hAnsiTheme="majorBidi" w:cstheme="majorBidi"/>
          <w:sz w:val="24"/>
          <w:szCs w:val="24"/>
        </w:rPr>
        <w:t xml:space="preserve">, M. (1965), </w:t>
      </w:r>
      <w:proofErr w:type="spellStart"/>
      <w:r w:rsidRPr="002C6D4A">
        <w:rPr>
          <w:rFonts w:asciiTheme="majorBidi" w:eastAsia="Calibri" w:hAnsiTheme="majorBidi" w:cstheme="majorBidi"/>
          <w:sz w:val="24"/>
          <w:szCs w:val="24"/>
        </w:rPr>
        <w:t>L’Algérie</w:t>
      </w:r>
      <w:proofErr w:type="spellEnd"/>
      <w:r w:rsidRPr="002C6D4A">
        <w:rPr>
          <w:rFonts w:asciiTheme="majorBidi" w:eastAsia="Calibri" w:hAnsiTheme="majorBidi" w:cstheme="majorBidi"/>
          <w:sz w:val="24"/>
          <w:szCs w:val="24"/>
        </w:rPr>
        <w:t xml:space="preserve">: Nation et </w:t>
      </w:r>
      <w:proofErr w:type="spellStart"/>
      <w:r w:rsidRPr="002C6D4A">
        <w:rPr>
          <w:rFonts w:asciiTheme="majorBidi" w:eastAsia="Calibri" w:hAnsiTheme="majorBidi" w:cstheme="majorBidi"/>
          <w:sz w:val="24"/>
          <w:szCs w:val="24"/>
        </w:rPr>
        <w:t>société</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Maspero</w:t>
      </w:r>
      <w:proofErr w:type="spellEnd"/>
      <w:r w:rsidRPr="002C6D4A">
        <w:rPr>
          <w:rFonts w:asciiTheme="majorBidi" w:eastAsia="Calibri" w:hAnsiTheme="majorBidi" w:cstheme="majorBidi"/>
          <w:sz w:val="24"/>
          <w:szCs w:val="24"/>
        </w:rPr>
        <w:t>, Paris</w:t>
      </w:r>
      <w:r w:rsidRPr="002C6D4A">
        <w:rPr>
          <w:rFonts w:asciiTheme="majorBidi" w:eastAsia="Calibri" w:hAnsiTheme="majorBidi" w:cstheme="majorBidi"/>
          <w:sz w:val="24"/>
          <w:szCs w:val="24"/>
          <w:rtl/>
        </w:rPr>
        <w:t>.</w:t>
      </w:r>
    </w:p>
    <w:p w14:paraId="1259CB8E"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 xml:space="preserve">Leclerc, G. (1972), Anthropologie et </w:t>
      </w:r>
      <w:proofErr w:type="spellStart"/>
      <w:r w:rsidRPr="002C6D4A">
        <w:rPr>
          <w:rFonts w:asciiTheme="majorBidi" w:eastAsia="Calibri" w:hAnsiTheme="majorBidi" w:cstheme="majorBidi"/>
          <w:sz w:val="24"/>
          <w:szCs w:val="24"/>
        </w:rPr>
        <w:t>colonialisme</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Fayard</w:t>
      </w:r>
      <w:proofErr w:type="spellEnd"/>
      <w:r w:rsidRPr="002C6D4A">
        <w:rPr>
          <w:rFonts w:asciiTheme="majorBidi" w:eastAsia="Calibri" w:hAnsiTheme="majorBidi" w:cstheme="majorBidi"/>
          <w:sz w:val="24"/>
          <w:szCs w:val="24"/>
        </w:rPr>
        <w:t>, Paris</w:t>
      </w:r>
      <w:r w:rsidRPr="002C6D4A">
        <w:rPr>
          <w:rFonts w:asciiTheme="majorBidi" w:eastAsia="Calibri" w:hAnsiTheme="majorBidi" w:cstheme="majorBidi"/>
          <w:sz w:val="24"/>
          <w:szCs w:val="24"/>
          <w:rtl/>
        </w:rPr>
        <w:t>.</w:t>
      </w:r>
    </w:p>
    <w:p w14:paraId="19E2D317"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Loomba, A. (1994 [1991]), “</w:t>
      </w:r>
      <w:proofErr w:type="spellStart"/>
      <w:r w:rsidRPr="002C6D4A">
        <w:rPr>
          <w:rFonts w:asciiTheme="majorBidi" w:eastAsia="Calibri" w:hAnsiTheme="majorBidi" w:cstheme="majorBidi"/>
          <w:sz w:val="24"/>
          <w:szCs w:val="24"/>
        </w:rPr>
        <w:t>Overworlding</w:t>
      </w:r>
      <w:proofErr w:type="spellEnd"/>
      <w:r w:rsidRPr="002C6D4A">
        <w:rPr>
          <w:rFonts w:asciiTheme="majorBidi" w:eastAsia="Calibri" w:hAnsiTheme="majorBidi" w:cstheme="majorBidi"/>
          <w:sz w:val="24"/>
          <w:szCs w:val="24"/>
        </w:rPr>
        <w:t xml:space="preserve"> the ‘Third World’”, in P. Williams and L. Chrisman (eds), Colonial Discourse and Post-Colonial Theory, Columbia University Press, New York, pp. 291–305</w:t>
      </w:r>
      <w:r w:rsidRPr="002C6D4A">
        <w:rPr>
          <w:rFonts w:asciiTheme="majorBidi" w:eastAsia="Calibri" w:hAnsiTheme="majorBidi" w:cstheme="majorBidi"/>
          <w:sz w:val="24"/>
          <w:szCs w:val="24"/>
          <w:rtl/>
        </w:rPr>
        <w:t>.</w:t>
      </w:r>
    </w:p>
    <w:p w14:paraId="2DC8DE4A"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 xml:space="preserve">Lucas, P. and </w:t>
      </w:r>
      <w:proofErr w:type="spellStart"/>
      <w:r w:rsidRPr="002C6D4A">
        <w:rPr>
          <w:rFonts w:asciiTheme="majorBidi" w:eastAsia="Calibri" w:hAnsiTheme="majorBidi" w:cstheme="majorBidi"/>
          <w:sz w:val="24"/>
          <w:szCs w:val="24"/>
        </w:rPr>
        <w:t>Vatin</w:t>
      </w:r>
      <w:proofErr w:type="spellEnd"/>
      <w:r w:rsidRPr="002C6D4A">
        <w:rPr>
          <w:rFonts w:asciiTheme="majorBidi" w:eastAsia="Calibri" w:hAnsiTheme="majorBidi" w:cstheme="majorBidi"/>
          <w:sz w:val="24"/>
          <w:szCs w:val="24"/>
        </w:rPr>
        <w:t xml:space="preserve">, J.-C. (1975), </w:t>
      </w:r>
      <w:proofErr w:type="spellStart"/>
      <w:r w:rsidRPr="002C6D4A">
        <w:rPr>
          <w:rFonts w:asciiTheme="majorBidi" w:eastAsia="Calibri" w:hAnsiTheme="majorBidi" w:cstheme="majorBidi"/>
          <w:sz w:val="24"/>
          <w:szCs w:val="24"/>
        </w:rPr>
        <w:t>L’Algérie</w:t>
      </w:r>
      <w:proofErr w:type="spellEnd"/>
      <w:r w:rsidRPr="002C6D4A">
        <w:rPr>
          <w:rFonts w:asciiTheme="majorBidi" w:eastAsia="Calibri" w:hAnsiTheme="majorBidi" w:cstheme="majorBidi"/>
          <w:sz w:val="24"/>
          <w:szCs w:val="24"/>
        </w:rPr>
        <w:t xml:space="preserve"> des anthropologies, </w:t>
      </w:r>
      <w:proofErr w:type="spellStart"/>
      <w:r w:rsidRPr="002C6D4A">
        <w:rPr>
          <w:rFonts w:asciiTheme="majorBidi" w:eastAsia="Calibri" w:hAnsiTheme="majorBidi" w:cstheme="majorBidi"/>
          <w:sz w:val="24"/>
          <w:szCs w:val="24"/>
        </w:rPr>
        <w:t>Maspero</w:t>
      </w:r>
      <w:proofErr w:type="spellEnd"/>
      <w:r w:rsidRPr="002C6D4A">
        <w:rPr>
          <w:rFonts w:asciiTheme="majorBidi" w:eastAsia="Calibri" w:hAnsiTheme="majorBidi" w:cstheme="majorBidi"/>
          <w:sz w:val="24"/>
          <w:szCs w:val="24"/>
        </w:rPr>
        <w:t>, Paris</w:t>
      </w:r>
      <w:r w:rsidRPr="002C6D4A">
        <w:rPr>
          <w:rFonts w:asciiTheme="majorBidi" w:eastAsia="Calibri" w:hAnsiTheme="majorBidi" w:cstheme="majorBidi"/>
          <w:sz w:val="24"/>
          <w:szCs w:val="24"/>
          <w:rtl/>
        </w:rPr>
        <w:t>.</w:t>
      </w:r>
    </w:p>
    <w:p w14:paraId="0E049AEC"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Lyotard, J.-F. (1984 [1979]), The Postmodern Condition, University of Minnesota Press, Minneapolis</w:t>
      </w:r>
      <w:r w:rsidRPr="002C6D4A">
        <w:rPr>
          <w:rFonts w:asciiTheme="majorBidi" w:eastAsia="Calibri" w:hAnsiTheme="majorBidi" w:cstheme="majorBidi"/>
          <w:sz w:val="24"/>
          <w:szCs w:val="24"/>
          <w:rtl/>
        </w:rPr>
        <w:t>.</w:t>
      </w:r>
    </w:p>
    <w:p w14:paraId="61B801A3"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Mandouze</w:t>
      </w:r>
      <w:proofErr w:type="spellEnd"/>
      <w:r w:rsidRPr="002C6D4A">
        <w:rPr>
          <w:rFonts w:asciiTheme="majorBidi" w:eastAsia="Calibri" w:hAnsiTheme="majorBidi" w:cstheme="majorBidi"/>
          <w:sz w:val="24"/>
          <w:szCs w:val="24"/>
        </w:rPr>
        <w:t xml:space="preserve">, A. (1961), La </w:t>
      </w:r>
      <w:proofErr w:type="spellStart"/>
      <w:r w:rsidRPr="002C6D4A">
        <w:rPr>
          <w:rFonts w:asciiTheme="majorBidi" w:eastAsia="Calibri" w:hAnsiTheme="majorBidi" w:cstheme="majorBidi"/>
          <w:sz w:val="24"/>
          <w:szCs w:val="24"/>
        </w:rPr>
        <w:t>révolution</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algérienne</w:t>
      </w:r>
      <w:proofErr w:type="spellEnd"/>
      <w:r w:rsidRPr="002C6D4A">
        <w:rPr>
          <w:rFonts w:asciiTheme="majorBidi" w:eastAsia="Calibri" w:hAnsiTheme="majorBidi" w:cstheme="majorBidi"/>
          <w:sz w:val="24"/>
          <w:szCs w:val="24"/>
        </w:rPr>
        <w:t xml:space="preserve"> par les </w:t>
      </w:r>
      <w:proofErr w:type="spellStart"/>
      <w:r w:rsidRPr="002C6D4A">
        <w:rPr>
          <w:rFonts w:asciiTheme="majorBidi" w:eastAsia="Calibri" w:hAnsiTheme="majorBidi" w:cstheme="majorBidi"/>
          <w:sz w:val="24"/>
          <w:szCs w:val="24"/>
        </w:rPr>
        <w:t>textes</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Maspero</w:t>
      </w:r>
      <w:proofErr w:type="spellEnd"/>
      <w:r w:rsidRPr="002C6D4A">
        <w:rPr>
          <w:rFonts w:asciiTheme="majorBidi" w:eastAsia="Calibri" w:hAnsiTheme="majorBidi" w:cstheme="majorBidi"/>
          <w:sz w:val="24"/>
          <w:szCs w:val="24"/>
        </w:rPr>
        <w:t>, Paris</w:t>
      </w:r>
      <w:r w:rsidRPr="002C6D4A">
        <w:rPr>
          <w:rFonts w:asciiTheme="majorBidi" w:eastAsia="Calibri" w:hAnsiTheme="majorBidi" w:cstheme="majorBidi"/>
          <w:sz w:val="24"/>
          <w:szCs w:val="24"/>
          <w:rtl/>
        </w:rPr>
        <w:t>.</w:t>
      </w:r>
    </w:p>
    <w:p w14:paraId="6B23A301"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Memmi, A. (1965 [1957]), The Colonizer and the Colonized, Orion, New York</w:t>
      </w:r>
      <w:r w:rsidRPr="002C6D4A">
        <w:rPr>
          <w:rFonts w:asciiTheme="majorBidi" w:eastAsia="Calibri" w:hAnsiTheme="majorBidi" w:cstheme="majorBidi"/>
          <w:sz w:val="24"/>
          <w:szCs w:val="24"/>
          <w:rtl/>
        </w:rPr>
        <w:t>.</w:t>
      </w:r>
    </w:p>
    <w:p w14:paraId="51314091"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 xml:space="preserve">Moniot, H. (ed.) (1976), Le Mal de </w:t>
      </w:r>
      <w:proofErr w:type="spellStart"/>
      <w:r w:rsidRPr="002C6D4A">
        <w:rPr>
          <w:rFonts w:asciiTheme="majorBidi" w:eastAsia="Calibri" w:hAnsiTheme="majorBidi" w:cstheme="majorBidi"/>
          <w:sz w:val="24"/>
          <w:szCs w:val="24"/>
        </w:rPr>
        <w:t>voir</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Université</w:t>
      </w:r>
      <w:proofErr w:type="spellEnd"/>
      <w:r w:rsidRPr="002C6D4A">
        <w:rPr>
          <w:rFonts w:asciiTheme="majorBidi" w:eastAsia="Calibri" w:hAnsiTheme="majorBidi" w:cstheme="majorBidi"/>
          <w:sz w:val="24"/>
          <w:szCs w:val="24"/>
        </w:rPr>
        <w:t xml:space="preserve"> de Paris VII, Paris</w:t>
      </w:r>
      <w:r w:rsidRPr="002C6D4A">
        <w:rPr>
          <w:rFonts w:asciiTheme="majorBidi" w:eastAsia="Calibri" w:hAnsiTheme="majorBidi" w:cstheme="majorBidi"/>
          <w:sz w:val="24"/>
          <w:szCs w:val="24"/>
          <w:rtl/>
        </w:rPr>
        <w:t>.</w:t>
      </w:r>
    </w:p>
    <w:p w14:paraId="6986E765"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Mudimbe</w:t>
      </w:r>
      <w:proofErr w:type="spellEnd"/>
      <w:r w:rsidRPr="002C6D4A">
        <w:rPr>
          <w:rFonts w:asciiTheme="majorBidi" w:eastAsia="Calibri" w:hAnsiTheme="majorBidi" w:cstheme="majorBidi"/>
          <w:sz w:val="24"/>
          <w:szCs w:val="24"/>
        </w:rPr>
        <w:t>, V. Y. (1993), “Reading and Teaching Pierre Bourdieu”, Transition, no. 61, pp. 144–160</w:t>
      </w:r>
      <w:r w:rsidRPr="002C6D4A">
        <w:rPr>
          <w:rFonts w:asciiTheme="majorBidi" w:eastAsia="Calibri" w:hAnsiTheme="majorBidi" w:cstheme="majorBidi"/>
          <w:sz w:val="24"/>
          <w:szCs w:val="24"/>
          <w:rtl/>
        </w:rPr>
        <w:t>.</w:t>
      </w:r>
    </w:p>
    <w:p w14:paraId="7767FD08"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Pomeranz, K. (2000), The Great Divergence, Princeton University Press, Princeton</w:t>
      </w:r>
      <w:r w:rsidRPr="002C6D4A">
        <w:rPr>
          <w:rFonts w:asciiTheme="majorBidi" w:eastAsia="Calibri" w:hAnsiTheme="majorBidi" w:cstheme="majorBidi"/>
          <w:sz w:val="24"/>
          <w:szCs w:val="24"/>
          <w:rtl/>
        </w:rPr>
        <w:t>.</w:t>
      </w:r>
    </w:p>
    <w:p w14:paraId="6B6318F6"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Poster, M. (1975), Existential Marxism in Postwar France, Princeton University Press, Princeton</w:t>
      </w:r>
      <w:r w:rsidRPr="002C6D4A">
        <w:rPr>
          <w:rFonts w:asciiTheme="majorBidi" w:eastAsia="Calibri" w:hAnsiTheme="majorBidi" w:cstheme="majorBidi"/>
          <w:sz w:val="24"/>
          <w:szCs w:val="24"/>
          <w:rtl/>
        </w:rPr>
        <w:t>.</w:t>
      </w:r>
    </w:p>
    <w:p w14:paraId="53C17559"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Poster, M. (1989), Critical Theory and Poststructuralism, Cornell University Press, Ithaca</w:t>
      </w:r>
      <w:r w:rsidRPr="002C6D4A">
        <w:rPr>
          <w:rFonts w:asciiTheme="majorBidi" w:eastAsia="Calibri" w:hAnsiTheme="majorBidi" w:cstheme="majorBidi"/>
          <w:sz w:val="24"/>
          <w:szCs w:val="24"/>
          <w:rtl/>
        </w:rPr>
        <w:t>.</w:t>
      </w:r>
    </w:p>
    <w:p w14:paraId="3FBFCB65"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Prochaska, D. (1990), Making Algeria French, Cambridge University Press, New York</w:t>
      </w:r>
      <w:r w:rsidRPr="002C6D4A">
        <w:rPr>
          <w:rFonts w:asciiTheme="majorBidi" w:eastAsia="Calibri" w:hAnsiTheme="majorBidi" w:cstheme="majorBidi"/>
          <w:sz w:val="24"/>
          <w:szCs w:val="24"/>
          <w:rtl/>
        </w:rPr>
        <w:t>.</w:t>
      </w:r>
    </w:p>
    <w:p w14:paraId="3BEAC965"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Robbins, D. (1991), The Work of Pierre Bourdieu, Westview Press, Boulder</w:t>
      </w:r>
      <w:r w:rsidRPr="002C6D4A">
        <w:rPr>
          <w:rFonts w:asciiTheme="majorBidi" w:eastAsia="Calibri" w:hAnsiTheme="majorBidi" w:cstheme="majorBidi"/>
          <w:sz w:val="24"/>
          <w:szCs w:val="24"/>
          <w:rtl/>
        </w:rPr>
        <w:t>.</w:t>
      </w:r>
    </w:p>
    <w:p w14:paraId="393CEA27"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 xml:space="preserve">Sahli, M. C. (1965), </w:t>
      </w:r>
      <w:proofErr w:type="spellStart"/>
      <w:r w:rsidRPr="002C6D4A">
        <w:rPr>
          <w:rFonts w:asciiTheme="majorBidi" w:eastAsia="Calibri" w:hAnsiTheme="majorBidi" w:cstheme="majorBidi"/>
          <w:sz w:val="24"/>
          <w:szCs w:val="24"/>
        </w:rPr>
        <w:t>Décoloniser</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l’histoire</w:t>
      </w:r>
      <w:proofErr w:type="spellEnd"/>
      <w:r w:rsidRPr="002C6D4A">
        <w:rPr>
          <w:rFonts w:asciiTheme="majorBidi" w:eastAsia="Calibri" w:hAnsiTheme="majorBidi" w:cstheme="majorBidi"/>
          <w:sz w:val="24"/>
          <w:szCs w:val="24"/>
        </w:rPr>
        <w:t xml:space="preserve">, </w:t>
      </w:r>
      <w:proofErr w:type="spellStart"/>
      <w:r w:rsidRPr="002C6D4A">
        <w:rPr>
          <w:rFonts w:asciiTheme="majorBidi" w:eastAsia="Calibri" w:hAnsiTheme="majorBidi" w:cstheme="majorBidi"/>
          <w:sz w:val="24"/>
          <w:szCs w:val="24"/>
        </w:rPr>
        <w:t>Maspero</w:t>
      </w:r>
      <w:proofErr w:type="spellEnd"/>
      <w:r w:rsidRPr="002C6D4A">
        <w:rPr>
          <w:rFonts w:asciiTheme="majorBidi" w:eastAsia="Calibri" w:hAnsiTheme="majorBidi" w:cstheme="majorBidi"/>
          <w:sz w:val="24"/>
          <w:szCs w:val="24"/>
        </w:rPr>
        <w:t>, Paris</w:t>
      </w:r>
      <w:r w:rsidRPr="002C6D4A">
        <w:rPr>
          <w:rFonts w:asciiTheme="majorBidi" w:eastAsia="Calibri" w:hAnsiTheme="majorBidi" w:cstheme="majorBidi"/>
          <w:sz w:val="24"/>
          <w:szCs w:val="24"/>
          <w:rtl/>
        </w:rPr>
        <w:t>.</w:t>
      </w:r>
    </w:p>
    <w:p w14:paraId="70EFB86D"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Said, E. W. (1978), Orientalism, Random House, New York</w:t>
      </w:r>
      <w:r w:rsidRPr="002C6D4A">
        <w:rPr>
          <w:rFonts w:asciiTheme="majorBidi" w:eastAsia="Calibri" w:hAnsiTheme="majorBidi" w:cstheme="majorBidi"/>
          <w:sz w:val="24"/>
          <w:szCs w:val="24"/>
          <w:rtl/>
        </w:rPr>
        <w:t>.</w:t>
      </w:r>
    </w:p>
    <w:p w14:paraId="37831AC5"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Said, E. W. (1983), The World, the Text, and the Critic, Harvard University Press, Cambridge</w:t>
      </w:r>
      <w:r w:rsidRPr="002C6D4A">
        <w:rPr>
          <w:rFonts w:asciiTheme="majorBidi" w:eastAsia="Calibri" w:hAnsiTheme="majorBidi" w:cstheme="majorBidi"/>
          <w:sz w:val="24"/>
          <w:szCs w:val="24"/>
          <w:rtl/>
        </w:rPr>
        <w:t>.</w:t>
      </w:r>
    </w:p>
    <w:p w14:paraId="3BA6C412"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Said, E. W. (1993), Culture and Imperialism, Random House, New York</w:t>
      </w:r>
      <w:r w:rsidRPr="002C6D4A">
        <w:rPr>
          <w:rFonts w:asciiTheme="majorBidi" w:eastAsia="Calibri" w:hAnsiTheme="majorBidi" w:cstheme="majorBidi"/>
          <w:sz w:val="24"/>
          <w:szCs w:val="24"/>
          <w:rtl/>
        </w:rPr>
        <w:t>.</w:t>
      </w:r>
    </w:p>
    <w:p w14:paraId="07BCAB7A"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Sartre, J.-P. (1968), “Preface”, in F. Fanon, The Wretched of the Earth, Grove Press, New York</w:t>
      </w:r>
      <w:r w:rsidRPr="002C6D4A">
        <w:rPr>
          <w:rFonts w:asciiTheme="majorBidi" w:eastAsia="Calibri" w:hAnsiTheme="majorBidi" w:cstheme="majorBidi"/>
          <w:sz w:val="24"/>
          <w:szCs w:val="24"/>
          <w:rtl/>
        </w:rPr>
        <w:t>.</w:t>
      </w:r>
    </w:p>
    <w:p w14:paraId="6C0B1EFD"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Sewell, W. (1999), “The Concept(s) of Culture”, in V. E. Bonnell and L. Hunt (eds), Beyond the Cultural Turn, University of California Press, Berkeley, pp. 35–61</w:t>
      </w:r>
      <w:r w:rsidRPr="002C6D4A">
        <w:rPr>
          <w:rFonts w:asciiTheme="majorBidi" w:eastAsia="Calibri" w:hAnsiTheme="majorBidi" w:cstheme="majorBidi"/>
          <w:sz w:val="24"/>
          <w:szCs w:val="24"/>
          <w:rtl/>
        </w:rPr>
        <w:t>.</w:t>
      </w:r>
    </w:p>
    <w:p w14:paraId="01B0CE8B"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Sprinker</w:t>
      </w:r>
      <w:proofErr w:type="spellEnd"/>
      <w:r w:rsidRPr="002C6D4A">
        <w:rPr>
          <w:rFonts w:asciiTheme="majorBidi" w:eastAsia="Calibri" w:hAnsiTheme="majorBidi" w:cstheme="majorBidi"/>
          <w:sz w:val="24"/>
          <w:szCs w:val="24"/>
        </w:rPr>
        <w:t>, M. (ed.) (1992), Edward Said: A Critical Reader, Blackwell, Cambridge, MA</w:t>
      </w:r>
      <w:r w:rsidRPr="002C6D4A">
        <w:rPr>
          <w:rFonts w:asciiTheme="majorBidi" w:eastAsia="Calibri" w:hAnsiTheme="majorBidi" w:cstheme="majorBidi"/>
          <w:sz w:val="24"/>
          <w:szCs w:val="24"/>
          <w:rtl/>
        </w:rPr>
        <w:t>.</w:t>
      </w:r>
    </w:p>
    <w:p w14:paraId="76F05D12"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Stocking, G. (1982 [1968]), Race, Culture, and Evolution, University of Chicago Press, Chicago</w:t>
      </w:r>
      <w:r w:rsidRPr="002C6D4A">
        <w:rPr>
          <w:rFonts w:asciiTheme="majorBidi" w:eastAsia="Calibri" w:hAnsiTheme="majorBidi" w:cstheme="majorBidi"/>
          <w:sz w:val="24"/>
          <w:szCs w:val="24"/>
          <w:rtl/>
        </w:rPr>
        <w:t>.</w:t>
      </w:r>
    </w:p>
    <w:p w14:paraId="7E2F6CAE"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Tibawi</w:t>
      </w:r>
      <w:proofErr w:type="spellEnd"/>
      <w:r w:rsidRPr="002C6D4A">
        <w:rPr>
          <w:rFonts w:asciiTheme="majorBidi" w:eastAsia="Calibri" w:hAnsiTheme="majorBidi" w:cstheme="majorBidi"/>
          <w:sz w:val="24"/>
          <w:szCs w:val="24"/>
        </w:rPr>
        <w:t>, A. (1963), “English-Speaking Orientalists”, The Muslim World, vol. 53, pp. 185–204</w:t>
      </w:r>
      <w:r w:rsidRPr="002C6D4A">
        <w:rPr>
          <w:rFonts w:asciiTheme="majorBidi" w:eastAsia="Calibri" w:hAnsiTheme="majorBidi" w:cstheme="majorBidi"/>
          <w:sz w:val="24"/>
          <w:szCs w:val="24"/>
          <w:rtl/>
        </w:rPr>
        <w:t>.</w:t>
      </w:r>
    </w:p>
    <w:p w14:paraId="7C694AC4" w14:textId="77777777" w:rsidR="002C6D4A" w:rsidRPr="002C6D4A" w:rsidRDefault="002C6D4A" w:rsidP="002C6D4A">
      <w:pPr>
        <w:bidi w:val="0"/>
        <w:jc w:val="both"/>
        <w:rPr>
          <w:rFonts w:asciiTheme="majorBidi" w:eastAsia="Calibri" w:hAnsiTheme="majorBidi" w:cstheme="majorBidi"/>
          <w:sz w:val="24"/>
          <w:szCs w:val="24"/>
        </w:rPr>
      </w:pPr>
      <w:proofErr w:type="spellStart"/>
      <w:r w:rsidRPr="002C6D4A">
        <w:rPr>
          <w:rFonts w:asciiTheme="majorBidi" w:eastAsia="Calibri" w:hAnsiTheme="majorBidi" w:cstheme="majorBidi"/>
          <w:sz w:val="24"/>
          <w:szCs w:val="24"/>
        </w:rPr>
        <w:t>Tibawi</w:t>
      </w:r>
      <w:proofErr w:type="spellEnd"/>
      <w:r w:rsidRPr="002C6D4A">
        <w:rPr>
          <w:rFonts w:asciiTheme="majorBidi" w:eastAsia="Calibri" w:hAnsiTheme="majorBidi" w:cstheme="majorBidi"/>
          <w:sz w:val="24"/>
          <w:szCs w:val="24"/>
        </w:rPr>
        <w:t>, A. (1979), “Second Critique of English-Speaking Orientalists”, The Islamic Quarterly, vol. 23, pp. 4–8</w:t>
      </w:r>
      <w:r w:rsidRPr="002C6D4A">
        <w:rPr>
          <w:rFonts w:asciiTheme="majorBidi" w:eastAsia="Calibri" w:hAnsiTheme="majorBidi" w:cstheme="majorBidi"/>
          <w:sz w:val="24"/>
          <w:szCs w:val="24"/>
          <w:rtl/>
        </w:rPr>
        <w:t>.</w:t>
      </w:r>
    </w:p>
    <w:p w14:paraId="6E662F45"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Turner, B. (1978), Marx and the End of Orientalism, Allen &amp; Unwin, London</w:t>
      </w:r>
      <w:r w:rsidRPr="002C6D4A">
        <w:rPr>
          <w:rFonts w:asciiTheme="majorBidi" w:eastAsia="Calibri" w:hAnsiTheme="majorBidi" w:cstheme="majorBidi"/>
          <w:sz w:val="24"/>
          <w:szCs w:val="24"/>
          <w:rtl/>
        </w:rPr>
        <w:t>.</w:t>
      </w:r>
    </w:p>
    <w:p w14:paraId="613063D3" w14:textId="77777777" w:rsidR="002C6D4A" w:rsidRPr="002C6D4A" w:rsidRDefault="002C6D4A" w:rsidP="002C6D4A">
      <w:pPr>
        <w:bidi w:val="0"/>
        <w:jc w:val="both"/>
        <w:rPr>
          <w:rFonts w:asciiTheme="majorBidi" w:eastAsia="Calibri" w:hAnsiTheme="majorBidi" w:cstheme="majorBidi"/>
          <w:sz w:val="24"/>
          <w:szCs w:val="24"/>
        </w:rPr>
      </w:pPr>
      <w:r w:rsidRPr="002C6D4A">
        <w:rPr>
          <w:rFonts w:asciiTheme="majorBidi" w:eastAsia="Calibri" w:hAnsiTheme="majorBidi" w:cstheme="majorBidi"/>
          <w:sz w:val="24"/>
          <w:szCs w:val="24"/>
        </w:rPr>
        <w:t>Wolf, E. R. (1982), Europe and the People Without History, University of California Press, Berkeley</w:t>
      </w:r>
      <w:r w:rsidRPr="002C6D4A">
        <w:rPr>
          <w:rFonts w:asciiTheme="majorBidi" w:eastAsia="Calibri" w:hAnsiTheme="majorBidi" w:cstheme="majorBidi"/>
          <w:sz w:val="24"/>
          <w:szCs w:val="24"/>
          <w:rtl/>
        </w:rPr>
        <w:t>.</w:t>
      </w:r>
    </w:p>
    <w:p w14:paraId="471B8F50" w14:textId="187275F0" w:rsidR="00D51387" w:rsidRPr="002C6D4A" w:rsidRDefault="002C6D4A" w:rsidP="002C6D4A">
      <w:pPr>
        <w:bidi w:val="0"/>
        <w:jc w:val="both"/>
        <w:rPr>
          <w:rFonts w:asciiTheme="majorBidi" w:eastAsia="Calibri" w:hAnsiTheme="majorBidi" w:cstheme="majorBidi"/>
          <w:sz w:val="24"/>
          <w:szCs w:val="24"/>
          <w:rtl/>
        </w:rPr>
      </w:pPr>
      <w:r w:rsidRPr="002C6D4A">
        <w:rPr>
          <w:rFonts w:asciiTheme="majorBidi" w:eastAsia="Calibri" w:hAnsiTheme="majorBidi" w:cstheme="majorBidi"/>
          <w:sz w:val="24"/>
          <w:szCs w:val="24"/>
        </w:rPr>
        <w:t>Young, R. (1990), White Mythologies, Routledge, New York</w:t>
      </w:r>
    </w:p>
    <w:p w14:paraId="2C2AE695" w14:textId="77777777" w:rsidR="00AF55A8" w:rsidRPr="00835F67" w:rsidRDefault="00AF55A8" w:rsidP="00AF55A8">
      <w:pPr>
        <w:rPr>
          <w:rFonts w:asciiTheme="majorBidi" w:eastAsia="Calibri" w:hAnsiTheme="majorBidi" w:cstheme="majorBidi"/>
          <w:sz w:val="24"/>
          <w:szCs w:val="24"/>
        </w:rPr>
      </w:pPr>
    </w:p>
    <w:p w14:paraId="2716D141" w14:textId="71966444" w:rsidR="00AF55A8" w:rsidRPr="00AF55A8" w:rsidRDefault="00AF55A8" w:rsidP="00AF55A8">
      <w:pPr>
        <w:rPr>
          <w:rFonts w:ascii="Times New Roman" w:hAnsi="Times New Roman" w:cs="Times New Roman"/>
          <w:b/>
          <w:bCs/>
          <w:sz w:val="24"/>
          <w:szCs w:val="24"/>
          <w:rtl/>
        </w:rPr>
      </w:pPr>
    </w:p>
    <w:p w14:paraId="78AE9034" w14:textId="77777777" w:rsidR="00543DE8" w:rsidRPr="00543DE8" w:rsidRDefault="00543DE8" w:rsidP="00543DE8">
      <w:pPr>
        <w:rPr>
          <w:rFonts w:asciiTheme="majorBidi" w:hAnsiTheme="majorBidi" w:cstheme="majorBidi"/>
          <w:sz w:val="24"/>
          <w:szCs w:val="24"/>
        </w:rPr>
      </w:pPr>
    </w:p>
    <w:sectPr w:rsidR="00543DE8" w:rsidRPr="00543DE8" w:rsidSect="00543DE8">
      <w:footerReference w:type="default" r:id="rId6"/>
      <w:pgSz w:w="11906" w:h="16838"/>
      <w:pgMar w:top="1440" w:right="1080" w:bottom="1440" w:left="108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2B8E6" w14:textId="77777777" w:rsidR="00D61B51" w:rsidRDefault="00D61B51" w:rsidP="00AF55A8">
      <w:pPr>
        <w:spacing w:after="0" w:line="240" w:lineRule="auto"/>
      </w:pPr>
      <w:r>
        <w:separator/>
      </w:r>
    </w:p>
  </w:endnote>
  <w:endnote w:type="continuationSeparator" w:id="0">
    <w:p w14:paraId="34108CA2" w14:textId="77777777" w:rsidR="00D61B51" w:rsidRDefault="00D61B51" w:rsidP="00AF55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416825332"/>
      <w:docPartObj>
        <w:docPartGallery w:val="Page Numbers (Bottom of Page)"/>
        <w:docPartUnique/>
      </w:docPartObj>
    </w:sdtPr>
    <w:sdtEndPr/>
    <w:sdtContent>
      <w:p w14:paraId="0EF5DEB2" w14:textId="35DC4CE6" w:rsidR="00AF55A8" w:rsidRDefault="00AF55A8">
        <w:pPr>
          <w:pStyle w:val="Footer"/>
        </w:pPr>
        <w:r>
          <w:fldChar w:fldCharType="begin"/>
        </w:r>
        <w:r>
          <w:instrText>PAGE   \* MERGEFORMAT</w:instrText>
        </w:r>
        <w:r>
          <w:fldChar w:fldCharType="separate"/>
        </w:r>
        <w:r>
          <w:rPr>
            <w:rtl/>
            <w:lang w:val="ar-SA"/>
          </w:rPr>
          <w:t>2</w:t>
        </w:r>
        <w:r>
          <w:fldChar w:fldCharType="end"/>
        </w:r>
      </w:p>
    </w:sdtContent>
  </w:sdt>
  <w:p w14:paraId="7980DDFD" w14:textId="77777777" w:rsidR="00AF55A8" w:rsidRDefault="00AF55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60420" w14:textId="77777777" w:rsidR="00D61B51" w:rsidRDefault="00D61B51" w:rsidP="00AF55A8">
      <w:pPr>
        <w:spacing w:after="0" w:line="240" w:lineRule="auto"/>
      </w:pPr>
      <w:r>
        <w:separator/>
      </w:r>
    </w:p>
  </w:footnote>
  <w:footnote w:type="continuationSeparator" w:id="0">
    <w:p w14:paraId="7F9FB6AB" w14:textId="77777777" w:rsidR="00D61B51" w:rsidRDefault="00D61B51" w:rsidP="00AF55A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67"/>
  <w:gutterAtTop/>
  <w:proofState w:spelling="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DE8"/>
    <w:rsid w:val="00026EF3"/>
    <w:rsid w:val="00061594"/>
    <w:rsid w:val="0006785F"/>
    <w:rsid w:val="000B541B"/>
    <w:rsid w:val="000E0CE7"/>
    <w:rsid w:val="001213C7"/>
    <w:rsid w:val="00132288"/>
    <w:rsid w:val="00173D32"/>
    <w:rsid w:val="00264853"/>
    <w:rsid w:val="002C6D4A"/>
    <w:rsid w:val="003813EF"/>
    <w:rsid w:val="00406743"/>
    <w:rsid w:val="00543DE8"/>
    <w:rsid w:val="005873B6"/>
    <w:rsid w:val="00782A49"/>
    <w:rsid w:val="008C1FE1"/>
    <w:rsid w:val="009F036C"/>
    <w:rsid w:val="00AF1502"/>
    <w:rsid w:val="00AF45F6"/>
    <w:rsid w:val="00AF55A8"/>
    <w:rsid w:val="00B41C6E"/>
    <w:rsid w:val="00BE4F33"/>
    <w:rsid w:val="00D51387"/>
    <w:rsid w:val="00D61B51"/>
    <w:rsid w:val="00FA0BCC"/>
    <w:rsid w:val="00FB08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4F053"/>
  <w15:chartTrackingRefBased/>
  <w15:docId w15:val="{C04CB462-CB56-4F22-B51C-4FA2A9793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55A8"/>
    <w:pPr>
      <w:tabs>
        <w:tab w:val="center" w:pos="4153"/>
        <w:tab w:val="right" w:pos="8306"/>
      </w:tabs>
      <w:spacing w:after="0" w:line="240" w:lineRule="auto"/>
    </w:pPr>
  </w:style>
  <w:style w:type="character" w:customStyle="1" w:styleId="HeaderChar">
    <w:name w:val="Header Char"/>
    <w:basedOn w:val="DefaultParagraphFont"/>
    <w:link w:val="Header"/>
    <w:uiPriority w:val="99"/>
    <w:rsid w:val="00AF55A8"/>
  </w:style>
  <w:style w:type="paragraph" w:styleId="Footer">
    <w:name w:val="footer"/>
    <w:basedOn w:val="Normal"/>
    <w:link w:val="FooterChar"/>
    <w:uiPriority w:val="99"/>
    <w:unhideWhenUsed/>
    <w:rsid w:val="00AF55A8"/>
    <w:pPr>
      <w:tabs>
        <w:tab w:val="center" w:pos="4153"/>
        <w:tab w:val="right" w:pos="8306"/>
      </w:tabs>
      <w:spacing w:after="0" w:line="240" w:lineRule="auto"/>
    </w:pPr>
  </w:style>
  <w:style w:type="character" w:customStyle="1" w:styleId="FooterChar">
    <w:name w:val="Footer Char"/>
    <w:basedOn w:val="DefaultParagraphFont"/>
    <w:link w:val="Footer"/>
    <w:uiPriority w:val="99"/>
    <w:rsid w:val="00AF55A8"/>
  </w:style>
  <w:style w:type="character" w:customStyle="1" w:styleId="diff--ux1av">
    <w:name w:val="diff--ux1av"/>
    <w:basedOn w:val="DefaultParagraphFont"/>
    <w:rsid w:val="00D513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9736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oter" Target="footer1.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9823</Words>
  <Characters>55997</Characters>
  <Application>Microsoft Office Word</Application>
  <DocSecurity>0</DocSecurity>
  <Lines>466</Lines>
  <Paragraphs>131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howami025@gmail.com</dc:creator>
  <cp:keywords/>
  <dc:description/>
  <cp:lastModifiedBy>Ali feddah علي فضة</cp:lastModifiedBy>
  <cp:revision>2</cp:revision>
  <cp:lastPrinted>2026-01-05T09:39:00Z</cp:lastPrinted>
  <dcterms:created xsi:type="dcterms:W3CDTF">2026-01-21T14:01:00Z</dcterms:created>
  <dcterms:modified xsi:type="dcterms:W3CDTF">2026-01-21T14:01:00Z</dcterms:modified>
</cp:coreProperties>
</file>